
<file path=[Content_Types].xml><?xml version="1.0" encoding="utf-8"?>
<Types xmlns="http://schemas.openxmlformats.org/package/2006/content-types">
  <Default Extension="xml" ContentType="application/xml"/>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1561" w:firstLineChars="300"/>
        <w:rPr>
          <w:rFonts w:ascii="微软雅黑" w:hAnsi="微软雅黑" w:eastAsia="微软雅黑" w:cs="微软雅黑"/>
          <w:b/>
          <w:color w:val="FF0000"/>
          <w:sz w:val="52"/>
          <w:szCs w:val="52"/>
          <w:shd w:val="clear" w:color="auto" w:fill="FFFFFF"/>
        </w:rPr>
      </w:pPr>
      <w:r>
        <w:rPr>
          <w:rFonts w:ascii="微软雅黑" w:hAnsi="微软雅黑" w:eastAsia="微软雅黑" w:cs="微软雅黑"/>
          <w:b/>
          <w:color w:val="FF0000"/>
          <w:sz w:val="52"/>
          <w:szCs w:val="52"/>
          <w:shd w:val="clear" w:color="auto" w:fill="FFFFFF"/>
        </w:rPr>
        <w:drawing>
          <wp:anchor distT="0" distB="0" distL="114300" distR="114300" simplePos="0" relativeHeight="251657216" behindDoc="1" locked="0" layoutInCell="1" allowOverlap="1">
            <wp:simplePos x="0" y="0"/>
            <wp:positionH relativeFrom="page">
              <wp:align>left</wp:align>
            </wp:positionH>
            <wp:positionV relativeFrom="paragraph">
              <wp:posOffset>0</wp:posOffset>
            </wp:positionV>
            <wp:extent cx="7589520" cy="237045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589520" cy="2370455"/>
                    </a:xfrm>
                    <a:prstGeom prst="rect">
                      <a:avLst/>
                    </a:prstGeom>
                    <a:noFill/>
                    <a:ln>
                      <a:noFill/>
                    </a:ln>
                  </pic:spPr>
                </pic:pic>
              </a:graphicData>
            </a:graphic>
          </wp:anchor>
        </w:drawing>
      </w:r>
    </w:p>
    <w:p>
      <w:pPr>
        <w:spacing w:before="312" w:beforeLines="100" w:after="312" w:afterLines="100" w:line="480" w:lineRule="auto"/>
        <w:jc w:val="center"/>
        <w:rPr>
          <w:rFonts w:ascii="建行儒黑中" w:hAnsi="建行儒黑中" w:eastAsia="建行儒黑中" w:cs="建行儒黑中"/>
          <w:b/>
          <w:color w:val="C00000"/>
          <w:spacing w:val="79"/>
          <w:sz w:val="60"/>
          <w:szCs w:val="60"/>
          <w:shd w:val="clear" w:color="auto" w:fill="FFFFFF"/>
        </w:rPr>
      </w:pPr>
      <w:r>
        <w:rPr>
          <w:rFonts w:hint="eastAsia" w:ascii="建行儒黑中" w:hAnsi="建行儒黑中" w:eastAsia="建行儒黑中" w:cs="建行儒黑中"/>
          <w:b/>
          <w:color w:val="C00000"/>
          <w:spacing w:val="79"/>
          <w:sz w:val="60"/>
          <w:szCs w:val="60"/>
          <w:shd w:val="clear" w:color="auto" w:fill="FFFFFF"/>
        </w:rPr>
        <w:t>新华商(EMBA)总裁班</w:t>
      </w:r>
    </w:p>
    <w:p>
      <w:pPr>
        <w:shd w:val="clear" w:color="auto" w:fill="FFFFFF"/>
        <w:tabs>
          <w:tab w:val="left" w:pos="6432"/>
        </w:tabs>
        <w:spacing w:line="360" w:lineRule="atLeast"/>
        <w:ind w:firstLine="4782" w:firstLineChars="1000"/>
        <w:rPr>
          <w:rFonts w:hint="eastAsia" w:ascii="微软雅黑" w:hAnsi="微软雅黑" w:eastAsia="微软雅黑" w:cs="微软雅黑"/>
          <w:b/>
          <w:bCs/>
          <w:color w:val="FF0000"/>
          <w:sz w:val="32"/>
          <w:szCs w:val="32"/>
        </w:rPr>
      </w:pPr>
      <w:r>
        <w:rPr>
          <w:rFonts w:ascii="建行儒黑中" w:hAnsi="建行儒黑中" w:eastAsia="建行儒黑中" w:cs="建行儒黑中"/>
          <w:b/>
          <w:color w:val="C00000"/>
          <w:spacing w:val="79"/>
          <w:sz w:val="32"/>
          <w:szCs w:val="32"/>
          <w:shd w:val="clear" w:color="auto" w:fill="FFFFFF"/>
        </w:rPr>
        <mc:AlternateContent>
          <mc:Choice Requires="wps">
            <w:drawing>
              <wp:anchor distT="0" distB="0" distL="114300" distR="114300" simplePos="0" relativeHeight="251660288" behindDoc="0" locked="0" layoutInCell="1" allowOverlap="1">
                <wp:simplePos x="0" y="0"/>
                <wp:positionH relativeFrom="margin">
                  <wp:posOffset>-285750</wp:posOffset>
                </wp:positionH>
                <wp:positionV relativeFrom="paragraph">
                  <wp:posOffset>551815</wp:posOffset>
                </wp:positionV>
                <wp:extent cx="6038850" cy="3808095"/>
                <wp:effectExtent l="19050" t="19050" r="38100" b="59055"/>
                <wp:wrapTopAndBottom/>
                <wp:docPr id="1" name="AutoShape 2"/>
                <wp:cNvGraphicFramePr/>
                <a:graphic xmlns:a="http://schemas.openxmlformats.org/drawingml/2006/main">
                  <a:graphicData uri="http://schemas.microsoft.com/office/word/2010/wordprocessingShape">
                    <wps:wsp>
                      <wps:cNvSpPr>
                        <a:spLocks noChangeArrowheads="1"/>
                      </wps:cNvSpPr>
                      <wps:spPr bwMode="auto">
                        <a:xfrm>
                          <a:off x="0" y="0"/>
                          <a:ext cx="6038850" cy="3808095"/>
                        </a:xfrm>
                        <a:prstGeom prst="roundRect">
                          <a:avLst>
                            <a:gd name="adj" fmla="val 16667"/>
                          </a:avLst>
                        </a:prstGeom>
                        <a:noFill/>
                        <a:ln w="38100">
                          <a:solidFill>
                            <a:schemeClr val="lt1">
                              <a:lumMod val="95000"/>
                              <a:lumOff val="0"/>
                            </a:schemeClr>
                          </a:solidFill>
                          <a:round/>
                        </a:ln>
                        <a:effectLst>
                          <a:outerShdw dist="28398" dir="3806097" algn="ctr" rotWithShape="0">
                            <a:schemeClr val="accent2">
                              <a:lumMod val="50000"/>
                              <a:lumOff val="0"/>
                              <a:alpha val="50000"/>
                            </a:schemeClr>
                          </a:outerShdw>
                        </a:effectLst>
                      </wps:spPr>
                      <wps:txbx>
                        <w:txbxContent>
                          <w:p>
                            <w:pPr>
                              <w:shd w:val="clear" w:color="auto" w:fill="FFFFFF"/>
                              <w:spacing w:line="360" w:lineRule="atLeast"/>
                              <w:ind w:firstLine="560" w:firstLineChars="200"/>
                              <w:jc w:val="right"/>
                              <w:rPr>
                                <w:rFonts w:ascii="华文行楷" w:hAnsi="华文楷体" w:eastAsia="华文行楷" w:cs="华文楷体"/>
                                <w:bCs/>
                                <w:color w:val="000000" w:themeColor="text1"/>
                                <w:sz w:val="28"/>
                                <w:szCs w:val="28"/>
                                <w14:textFill>
                                  <w14:solidFill>
                                    <w14:schemeClr w14:val="tx1"/>
                                  </w14:solidFill>
                                </w14:textFill>
                              </w:rPr>
                            </w:pPr>
                          </w:p>
                          <w:p>
                            <w:pPr>
                              <w:shd w:val="clear" w:color="auto" w:fill="FFFFFF"/>
                              <w:spacing w:line="360" w:lineRule="atLeast"/>
                              <w:ind w:right="280" w:firstLine="560" w:firstLineChars="200"/>
                              <w:jc w:val="right"/>
                              <w:rPr>
                                <w:rFonts w:ascii="华文行楷" w:hAnsi="华文楷体" w:eastAsia="华文行楷" w:cs="华文楷体"/>
                                <w:bCs/>
                                <w:color w:val="000000" w:themeColor="text1"/>
                                <w:sz w:val="28"/>
                                <w:szCs w:val="28"/>
                                <w14:textFill>
                                  <w14:solidFill>
                                    <w14:schemeClr w14:val="tx1"/>
                                  </w14:solidFill>
                                </w14:textFill>
                              </w:rPr>
                            </w:pPr>
                            <w:r>
                              <w:rPr>
                                <w:rFonts w:hint="eastAsia" w:ascii="华文行楷" w:hAnsi="华文楷体" w:eastAsia="华文行楷" w:cs="华文楷体"/>
                                <w:bCs/>
                                <w:color w:val="000000" w:themeColor="text1"/>
                                <w:sz w:val="28"/>
                                <w:szCs w:val="28"/>
                                <w14:textFill>
                                  <w14:solidFill>
                                    <w14:schemeClr w14:val="tx1"/>
                                  </w14:solidFill>
                                </w14:textFill>
                              </w:rPr>
                              <w:t>加快培养造就国际一流的经济学家、具有国际视野的企业家。</w:t>
                            </w:r>
                          </w:p>
                          <w:p>
                            <w:pPr>
                              <w:shd w:val="clear" w:color="auto" w:fill="FFFFFF"/>
                              <w:spacing w:line="360" w:lineRule="atLeast"/>
                              <w:ind w:right="280" w:firstLine="560" w:firstLineChars="200"/>
                              <w:jc w:val="right"/>
                              <w:rPr>
                                <w:rFonts w:ascii="华文行楷" w:hAnsi="华文楷体" w:eastAsia="华文行楷" w:cs="华文楷体"/>
                                <w:bCs/>
                                <w:color w:val="000000" w:themeColor="text1"/>
                                <w:sz w:val="28"/>
                                <w:szCs w:val="28"/>
                                <w14:textFill>
                                  <w14:solidFill>
                                    <w14:schemeClr w14:val="tx1"/>
                                  </w14:solidFill>
                                </w14:textFill>
                              </w:rPr>
                            </w:pPr>
                            <w:r>
                              <w:rPr>
                                <w:rFonts w:hint="eastAsia" w:ascii="华文行楷" w:hAnsi="华文楷体" w:eastAsia="华文行楷" w:cs="华文楷体"/>
                                <w:bCs/>
                                <w:color w:val="000000" w:themeColor="text1"/>
                                <w:sz w:val="28"/>
                                <w:szCs w:val="28"/>
                                <w14:textFill>
                                  <w14:solidFill>
                                    <w14:schemeClr w14:val="tx1"/>
                                  </w14:solidFill>
                                </w14:textFill>
                              </w:rPr>
                              <w:t>——习近平</w:t>
                            </w:r>
                          </w:p>
                          <w:p>
                            <w:pPr>
                              <w:shd w:val="clear" w:color="auto" w:fill="FFFFFF"/>
                              <w:spacing w:line="360" w:lineRule="atLeast"/>
                              <w:ind w:firstLine="7000" w:firstLineChars="2500"/>
                              <w:jc w:val="right"/>
                              <w:rPr>
                                <w:rFonts w:ascii="华文行楷" w:hAnsi="华文楷体" w:eastAsia="华文行楷" w:cs="华文楷体"/>
                                <w:bCs/>
                                <w:color w:val="000000" w:themeColor="text1"/>
                                <w:sz w:val="28"/>
                                <w:szCs w:val="28"/>
                                <w14:textFill>
                                  <w14:solidFill>
                                    <w14:schemeClr w14:val="tx1"/>
                                  </w14:solidFill>
                                </w14:textFill>
                              </w:rPr>
                            </w:pPr>
                          </w:p>
                          <w:p>
                            <w:pPr>
                              <w:shd w:val="clear" w:color="auto" w:fill="FFFFFF"/>
                              <w:spacing w:line="360" w:lineRule="atLeast"/>
                              <w:ind w:firstLine="560" w:firstLineChars="200"/>
                              <w:rPr>
                                <w:rFonts w:ascii="华文行楷" w:hAnsi="华文楷体" w:eastAsia="华文行楷" w:cs="华文楷体"/>
                                <w:bCs/>
                                <w:color w:val="000000" w:themeColor="text1"/>
                                <w:sz w:val="28"/>
                                <w:szCs w:val="28"/>
                                <w14:textFill>
                                  <w14:solidFill>
                                    <w14:schemeClr w14:val="tx1"/>
                                  </w14:solidFill>
                                </w14:textFill>
                              </w:rPr>
                            </w:pPr>
                            <w:r>
                              <w:rPr>
                                <w:rFonts w:hint="eastAsia" w:ascii="华文行楷" w:hAnsi="华文楷体" w:eastAsia="华文行楷" w:cs="华文楷体"/>
                                <w:bCs/>
                                <w:color w:val="000000" w:themeColor="text1"/>
                                <w:sz w:val="28"/>
                                <w:szCs w:val="28"/>
                                <w14:textFill>
                                  <w14:solidFill>
                                    <w14:schemeClr w14:val="tx1"/>
                                  </w14:solidFill>
                                </w14:textFill>
                              </w:rPr>
                              <w:t>管理就是确切地知道你要别人干什么，并使他用最好的方法去干，是指挥他人能用最好的办法去工作。</w:t>
                            </w:r>
                          </w:p>
                          <w:p>
                            <w:pPr>
                              <w:shd w:val="clear" w:color="auto" w:fill="FFFFFF"/>
                              <w:spacing w:line="360" w:lineRule="atLeast"/>
                              <w:ind w:firstLine="560" w:firstLineChars="200"/>
                              <w:jc w:val="right"/>
                              <w:rPr>
                                <w:rFonts w:ascii="华文行楷" w:eastAsia="华文行楷"/>
                                <w:sz w:val="28"/>
                                <w:szCs w:val="28"/>
                              </w:rPr>
                            </w:pPr>
                            <w:r>
                              <w:rPr>
                                <w:rFonts w:hint="eastAsia" w:ascii="华文行楷" w:hAnsi="华文楷体" w:eastAsia="华文行楷" w:cs="华文楷体"/>
                                <w:bCs/>
                                <w:color w:val="000000" w:themeColor="text1"/>
                                <w:sz w:val="28"/>
                                <w:szCs w:val="28"/>
                                <w14:textFill>
                                  <w14:solidFill>
                                    <w14:schemeClr w14:val="tx1"/>
                                  </w14:solidFill>
                                </w14:textFill>
                              </w:rPr>
                              <w:t>——</w:t>
                            </w:r>
                            <w:r>
                              <w:fldChar w:fldCharType="begin"/>
                            </w:r>
                            <w:r>
                              <w:instrText xml:space="preserve"> HYPERLINK "https://baike.baidu.com/item/%E5%BC%97%E9%9B%B7%E5%BE%B7%E9%87%8C%E5%85%8B%C2%B7%E6%B3%B0%E7%BD%97" \t "_blank" </w:instrText>
                            </w:r>
                            <w:r>
                              <w:fldChar w:fldCharType="separate"/>
                            </w:r>
                            <w:r>
                              <w:rPr>
                                <w:rFonts w:hint="eastAsia" w:ascii="华文行楷" w:hAnsi="华文楷体" w:eastAsia="华文行楷" w:cs="华文楷体"/>
                                <w:bCs/>
                                <w:color w:val="000000" w:themeColor="text1"/>
                                <w:sz w:val="28"/>
                                <w:szCs w:val="28"/>
                                <w14:textFill>
                                  <w14:solidFill>
                                    <w14:schemeClr w14:val="tx1"/>
                                  </w14:solidFill>
                                </w14:textFill>
                              </w:rPr>
                              <w:t>弗雷德里克·泰罗</w:t>
                            </w:r>
                            <w:r>
                              <w:rPr>
                                <w:rFonts w:hint="eastAsia" w:ascii="华文行楷" w:hAnsi="华文楷体" w:eastAsia="华文行楷" w:cs="华文楷体"/>
                                <w:bCs/>
                                <w:color w:val="000000" w:themeColor="text1"/>
                                <w:sz w:val="28"/>
                                <w:szCs w:val="28"/>
                                <w14:textFill>
                                  <w14:solidFill>
                                    <w14:schemeClr w14:val="tx1"/>
                                  </w14:solidFill>
                                </w14:textFill>
                              </w:rPr>
                              <w:fldChar w:fldCharType="end"/>
                            </w:r>
                          </w:p>
                        </w:txbxContent>
                      </wps:txbx>
                      <wps:bodyPr rot="0" vert="horz" wrap="square" lIns="91440" tIns="45720" rIns="91440" bIns="45720" anchor="t" anchorCtr="0" upright="1">
                        <a:noAutofit/>
                      </wps:bodyPr>
                    </wps:wsp>
                  </a:graphicData>
                </a:graphic>
              </wp:anchor>
            </w:drawing>
          </mc:Choice>
          <mc:Fallback>
            <w:pict>
              <v:roundrect id="AutoShape 2" o:spid="_x0000_s1026" o:spt="2" style="position:absolute;left:0pt;margin-left:-22.5pt;margin-top:43.45pt;height:299.85pt;width:475.5pt;mso-position-horizontal-relative:margin;mso-wrap-distance-bottom:0pt;mso-wrap-distance-top:0pt;z-index:251660288;mso-width-relative:page;mso-height-relative:page;" filled="f" stroked="t" coordsize="21600,21600" arcsize="0.166666666666667" o:gfxdata="UEsDBAoAAAAAAIdO4kAAAAAAAAAAAAAAAAAEAAAAZHJzL1BLAwQUAAAACACHTuJAv0MwDNcAAAAK&#10;AQAADwAAAGRycy9kb3ducmV2LnhtbE2PzU7DMBCE70i8g7VI3Fq7CEySxumhiAucmiLE0Y23cUS8&#10;jmz3J2+POcFxdkaz39SbqxvZGUMcPClYLQUwpM6bgXoFH/vXRQEsJk1Gj55QwYwRNs3tTa0r4y+0&#10;w3ObepZLKFZagU1pqjiPnUWn49JPSNk7+uB0yjL03AR9yeVu5A9CSO70QPmD1RNuLXbf7ckpCG++&#10;R5y/Pp+3pS3se7ufd/ii1P3dSqyBJbymvzD84md0aDLTwZ/IRDYqWDw+5S1JQSFLYDlQCpkPBwWy&#10;kBJ4U/P/E5ofUEsDBBQAAAAIAIdO4kABsmGijwIAADIFAAAOAAAAZHJzL2Uyb0RvYy54bWytVE1v&#10;1DAQvSPxHyzfaT62m+5GzVZVqyKkAhUFcZ61ncTg2MF2Ntv+esZOul1acUEoUuTx2G/mvZnx+cW+&#10;U2QnrJNGVzQ7SSkRmhkudVPRb19v3q0ocR40B2W0qOiDcPRi8/bN+diXIjetUVxYgiDalWNf0db7&#10;vkwSx1rRgTsxvdDorI3twKNpm4RbGBG9U0mepkUyGst7a5hwDnevJyfdRPy6Fsx/rmsnPFEVxdx8&#10;/Nv434Z/sjmHsrHQt5LNacA/ZNGB1Bj0AHUNHshg5SuoTjJrnKn9CTNdYupaMhE5IJssfcHmvoVe&#10;RC4ojusPMrn/B8s+7e4skRxrR4mGDkt0OXgTI5M8yDP2rsRT9/2dDQRdf2vYT0e0uWpBN+LSWjO2&#10;AjgmlYXzyR8XguHwKtmOHw1HdED0qNS+tl0ARA3IPhbk4VAQsfeE4WaRLlarJdaNoW+xSlfpehlj&#10;QPl0vbfOvxemI2FRUWsGzb9g2WMM2N06H8vCZ3LAf1BSdwqLvANFsqIozmbE+XAC5RNmuKnNjVQq&#10;tonSZAxpZGka0Z1Rkgdv1MU22ytlCaJW9CYPXzykhg6JT9vrZYpXJ6yhw8actuMWhnUTBEqI62Ps&#10;SCpIC6XSIZiInT1zM4MX9r7lI+EySJCvFmucOi6xzVGzIl2fUQKqwflk3lJijf8ufRtLHBR/lX2x&#10;yJf54lX2Ifm/ZQ8lqL6Fic/h4AtOh0QjkyMOsWVCl0zd5vfbPbINrbM1/AGbB1OOHYIPDS5aYx8p&#10;GXFoK+p+DWAFJeqDxgZcZ6enYcqjcbo8y9Gwx57tsQc0Q6iKepQnLq/89DIMvZVNi5GyKII2YSRq&#10;6UMJnrOaDRzMyGd+RMLkH9vx1PNTt/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v0MwDNcAAAAK&#10;AQAADwAAAAAAAAABACAAAAAiAAAAZHJzL2Rvd25yZXYueG1sUEsBAhQAFAAAAAgAh07iQAGyYaKP&#10;AgAAMgUAAA4AAAAAAAAAAQAgAAAAJgEAAGRycy9lMm9Eb2MueG1sUEsFBgAAAAAGAAYAWQEAACcG&#10;AAAAAA==&#10;">
                <v:fill on="f" focussize="0,0"/>
                <v:stroke weight="3pt" color="#F2F2F2 [3201]" joinstyle="round"/>
                <v:imagedata o:title=""/>
                <o:lock v:ext="edit" aspectratio="f"/>
                <v:shadow on="t" color="#632523 [3205]" opacity="32768f" offset="1pt,2pt" origin="0f,0f" matrix="65536f,0f,0f,65536f"/>
                <v:textbox>
                  <w:txbxContent>
                    <w:p>
                      <w:pPr>
                        <w:shd w:val="clear" w:color="auto" w:fill="FFFFFF"/>
                        <w:spacing w:line="360" w:lineRule="atLeast"/>
                        <w:ind w:firstLine="560" w:firstLineChars="200"/>
                        <w:jc w:val="right"/>
                        <w:rPr>
                          <w:rFonts w:ascii="华文行楷" w:hAnsi="华文楷体" w:eastAsia="华文行楷" w:cs="华文楷体"/>
                          <w:bCs/>
                          <w:color w:val="000000" w:themeColor="text1"/>
                          <w:sz w:val="28"/>
                          <w:szCs w:val="28"/>
                          <w14:textFill>
                            <w14:solidFill>
                              <w14:schemeClr w14:val="tx1"/>
                            </w14:solidFill>
                          </w14:textFill>
                        </w:rPr>
                      </w:pPr>
                    </w:p>
                    <w:p>
                      <w:pPr>
                        <w:shd w:val="clear" w:color="auto" w:fill="FFFFFF"/>
                        <w:spacing w:line="360" w:lineRule="atLeast"/>
                        <w:ind w:right="280" w:firstLine="560" w:firstLineChars="200"/>
                        <w:jc w:val="right"/>
                        <w:rPr>
                          <w:rFonts w:ascii="华文行楷" w:hAnsi="华文楷体" w:eastAsia="华文行楷" w:cs="华文楷体"/>
                          <w:bCs/>
                          <w:color w:val="000000" w:themeColor="text1"/>
                          <w:sz w:val="28"/>
                          <w:szCs w:val="28"/>
                          <w14:textFill>
                            <w14:solidFill>
                              <w14:schemeClr w14:val="tx1"/>
                            </w14:solidFill>
                          </w14:textFill>
                        </w:rPr>
                      </w:pPr>
                      <w:r>
                        <w:rPr>
                          <w:rFonts w:hint="eastAsia" w:ascii="华文行楷" w:hAnsi="华文楷体" w:eastAsia="华文行楷" w:cs="华文楷体"/>
                          <w:bCs/>
                          <w:color w:val="000000" w:themeColor="text1"/>
                          <w:sz w:val="28"/>
                          <w:szCs w:val="28"/>
                          <w14:textFill>
                            <w14:solidFill>
                              <w14:schemeClr w14:val="tx1"/>
                            </w14:solidFill>
                          </w14:textFill>
                        </w:rPr>
                        <w:t>加快培养造就国际一流的经济学家、具有国际视野的企业家。</w:t>
                      </w:r>
                    </w:p>
                    <w:p>
                      <w:pPr>
                        <w:shd w:val="clear" w:color="auto" w:fill="FFFFFF"/>
                        <w:spacing w:line="360" w:lineRule="atLeast"/>
                        <w:ind w:right="280" w:firstLine="560" w:firstLineChars="200"/>
                        <w:jc w:val="right"/>
                        <w:rPr>
                          <w:rFonts w:ascii="华文行楷" w:hAnsi="华文楷体" w:eastAsia="华文行楷" w:cs="华文楷体"/>
                          <w:bCs/>
                          <w:color w:val="000000" w:themeColor="text1"/>
                          <w:sz w:val="28"/>
                          <w:szCs w:val="28"/>
                          <w14:textFill>
                            <w14:solidFill>
                              <w14:schemeClr w14:val="tx1"/>
                            </w14:solidFill>
                          </w14:textFill>
                        </w:rPr>
                      </w:pPr>
                      <w:r>
                        <w:rPr>
                          <w:rFonts w:hint="eastAsia" w:ascii="华文行楷" w:hAnsi="华文楷体" w:eastAsia="华文行楷" w:cs="华文楷体"/>
                          <w:bCs/>
                          <w:color w:val="000000" w:themeColor="text1"/>
                          <w:sz w:val="28"/>
                          <w:szCs w:val="28"/>
                          <w14:textFill>
                            <w14:solidFill>
                              <w14:schemeClr w14:val="tx1"/>
                            </w14:solidFill>
                          </w14:textFill>
                        </w:rPr>
                        <w:t>——习近平</w:t>
                      </w:r>
                    </w:p>
                    <w:p>
                      <w:pPr>
                        <w:shd w:val="clear" w:color="auto" w:fill="FFFFFF"/>
                        <w:spacing w:line="360" w:lineRule="atLeast"/>
                        <w:ind w:firstLine="7000" w:firstLineChars="2500"/>
                        <w:jc w:val="right"/>
                        <w:rPr>
                          <w:rFonts w:ascii="华文行楷" w:hAnsi="华文楷体" w:eastAsia="华文行楷" w:cs="华文楷体"/>
                          <w:bCs/>
                          <w:color w:val="000000" w:themeColor="text1"/>
                          <w:sz w:val="28"/>
                          <w:szCs w:val="28"/>
                          <w14:textFill>
                            <w14:solidFill>
                              <w14:schemeClr w14:val="tx1"/>
                            </w14:solidFill>
                          </w14:textFill>
                        </w:rPr>
                      </w:pPr>
                    </w:p>
                    <w:p>
                      <w:pPr>
                        <w:shd w:val="clear" w:color="auto" w:fill="FFFFFF"/>
                        <w:spacing w:line="360" w:lineRule="atLeast"/>
                        <w:ind w:firstLine="560" w:firstLineChars="200"/>
                        <w:rPr>
                          <w:rFonts w:ascii="华文行楷" w:hAnsi="华文楷体" w:eastAsia="华文行楷" w:cs="华文楷体"/>
                          <w:bCs/>
                          <w:color w:val="000000" w:themeColor="text1"/>
                          <w:sz w:val="28"/>
                          <w:szCs w:val="28"/>
                          <w14:textFill>
                            <w14:solidFill>
                              <w14:schemeClr w14:val="tx1"/>
                            </w14:solidFill>
                          </w14:textFill>
                        </w:rPr>
                      </w:pPr>
                      <w:r>
                        <w:rPr>
                          <w:rFonts w:hint="eastAsia" w:ascii="华文行楷" w:hAnsi="华文楷体" w:eastAsia="华文行楷" w:cs="华文楷体"/>
                          <w:bCs/>
                          <w:color w:val="000000" w:themeColor="text1"/>
                          <w:sz w:val="28"/>
                          <w:szCs w:val="28"/>
                          <w14:textFill>
                            <w14:solidFill>
                              <w14:schemeClr w14:val="tx1"/>
                            </w14:solidFill>
                          </w14:textFill>
                        </w:rPr>
                        <w:t>管理就是确切地知道你要别人干什么，并使他用最好的方法去干，是指挥他人能用最好的办法去工作。</w:t>
                      </w:r>
                    </w:p>
                    <w:p>
                      <w:pPr>
                        <w:shd w:val="clear" w:color="auto" w:fill="FFFFFF"/>
                        <w:spacing w:line="360" w:lineRule="atLeast"/>
                        <w:ind w:firstLine="560" w:firstLineChars="200"/>
                        <w:jc w:val="right"/>
                        <w:rPr>
                          <w:rFonts w:ascii="华文行楷" w:eastAsia="华文行楷"/>
                          <w:sz w:val="28"/>
                          <w:szCs w:val="28"/>
                        </w:rPr>
                      </w:pPr>
                      <w:r>
                        <w:rPr>
                          <w:rFonts w:hint="eastAsia" w:ascii="华文行楷" w:hAnsi="华文楷体" w:eastAsia="华文行楷" w:cs="华文楷体"/>
                          <w:bCs/>
                          <w:color w:val="000000" w:themeColor="text1"/>
                          <w:sz w:val="28"/>
                          <w:szCs w:val="28"/>
                          <w14:textFill>
                            <w14:solidFill>
                              <w14:schemeClr w14:val="tx1"/>
                            </w14:solidFill>
                          </w14:textFill>
                        </w:rPr>
                        <w:t>——</w:t>
                      </w:r>
                      <w:r>
                        <w:fldChar w:fldCharType="begin"/>
                      </w:r>
                      <w:r>
                        <w:instrText xml:space="preserve"> HYPERLINK "https://baike.baidu.com/item/%E5%BC%97%E9%9B%B7%E5%BE%B7%E9%87%8C%E5%85%8B%C2%B7%E6%B3%B0%E7%BD%97" \t "_blank" </w:instrText>
                      </w:r>
                      <w:r>
                        <w:fldChar w:fldCharType="separate"/>
                      </w:r>
                      <w:r>
                        <w:rPr>
                          <w:rFonts w:hint="eastAsia" w:ascii="华文行楷" w:hAnsi="华文楷体" w:eastAsia="华文行楷" w:cs="华文楷体"/>
                          <w:bCs/>
                          <w:color w:val="000000" w:themeColor="text1"/>
                          <w:sz w:val="28"/>
                          <w:szCs w:val="28"/>
                          <w14:textFill>
                            <w14:solidFill>
                              <w14:schemeClr w14:val="tx1"/>
                            </w14:solidFill>
                          </w14:textFill>
                        </w:rPr>
                        <w:t>弗雷德里克·泰罗</w:t>
                      </w:r>
                      <w:r>
                        <w:rPr>
                          <w:rFonts w:hint="eastAsia" w:ascii="华文行楷" w:hAnsi="华文楷体" w:eastAsia="华文行楷" w:cs="华文楷体"/>
                          <w:bCs/>
                          <w:color w:val="000000" w:themeColor="text1"/>
                          <w:sz w:val="28"/>
                          <w:szCs w:val="28"/>
                          <w14:textFill>
                            <w14:solidFill>
                              <w14:schemeClr w14:val="tx1"/>
                            </w14:solidFill>
                          </w14:textFill>
                        </w:rPr>
                        <w:fldChar w:fldCharType="end"/>
                      </w:r>
                    </w:p>
                  </w:txbxContent>
                </v:textbox>
                <w10:wrap type="topAndBottom"/>
              </v:roundrect>
            </w:pict>
          </mc:Fallback>
        </mc:AlternateContent>
      </w:r>
      <w:r>
        <w:rPr>
          <w:rFonts w:hint="eastAsia" w:ascii="建行儒黑中" w:hAnsi="建行儒黑中" w:eastAsia="建行儒黑中" w:cs="建行儒黑中"/>
          <w:b/>
          <w:color w:val="C00000"/>
          <w:spacing w:val="79"/>
          <w:sz w:val="32"/>
          <w:szCs w:val="32"/>
          <w:shd w:val="clear" w:color="auto" w:fill="FFFFFF"/>
        </w:rPr>
        <w:t>第45期</w:t>
      </w:r>
      <w:r>
        <w:rPr>
          <w:rFonts w:ascii="建行儒黑中" w:hAnsi="建行儒黑中" w:eastAsia="建行儒黑中" w:cs="建行儒黑中"/>
          <w:b/>
          <w:color w:val="C00000"/>
          <w:spacing w:val="79"/>
          <w:sz w:val="32"/>
          <w:szCs w:val="32"/>
          <w:shd w:val="clear" w:color="auto" w:fill="FFFFFF"/>
        </w:rPr>
        <w:tab/>
      </w:r>
    </w:p>
    <w:p>
      <w:pPr>
        <w:pStyle w:val="20"/>
        <w:numPr>
          <w:ilvl w:val="0"/>
          <w:numId w:val="1"/>
        </w:numPr>
        <w:spacing w:line="480" w:lineRule="auto"/>
        <w:ind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color w:val="C00000"/>
          <w:sz w:val="40"/>
          <w:szCs w:val="28"/>
          <w:shd w:val="clear" w:color="auto" w:fill="FFFFFF"/>
        </w:rPr>
        <w:t>课程背景</w:t>
      </w:r>
    </w:p>
    <w:p>
      <w:pPr>
        <w:spacing w:line="560" w:lineRule="exact"/>
        <w:ind w:firstLine="480" w:firstLineChars="200"/>
        <w:rPr>
          <w:rFonts w:ascii="微软雅黑" w:hAnsi="微软雅黑" w:eastAsia="微软雅黑"/>
          <w:b/>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面临前所未有的时代易变性、不确定性、复杂性和模糊性，企业领导者的思维、视野、资源等对于企业的生存发展尤为重要，在技术浪潮驱动和跨界整合背景下，众多成长中的企业陷入对商业模式调整和企业转型的深刻思考，</w:t>
      </w:r>
      <w:r>
        <w:rPr>
          <w:rFonts w:hint="eastAsia" w:ascii="微软雅黑" w:hAnsi="微软雅黑" w:eastAsia="微软雅黑"/>
          <w:b/>
          <w:color w:val="000000" w:themeColor="text1"/>
          <w:sz w:val="24"/>
          <w:szCs w:val="28"/>
          <w14:textFill>
            <w14:solidFill>
              <w14:schemeClr w14:val="tx1"/>
            </w14:solidFill>
          </w14:textFill>
        </w:rPr>
        <w:t xml:space="preserve">比如： </w:t>
      </w:r>
      <w:r>
        <w:rPr>
          <w:rFonts w:hint="eastAsia" w:ascii="微软雅黑" w:hAnsi="微软雅黑" w:eastAsia="微软雅黑"/>
          <w:color w:val="000000" w:themeColor="text1"/>
          <w:sz w:val="24"/>
          <w:szCs w:val="28"/>
          <w14:textFill>
            <w14:solidFill>
              <w14:schemeClr w14:val="tx1"/>
            </w14:solidFill>
          </w14:textFill>
        </w:rPr>
        <w:cr/>
      </w:r>
      <w:r>
        <w:rPr>
          <w:rFonts w:hint="eastAsia" w:ascii="微软雅黑" w:hAnsi="微软雅黑" w:eastAsia="微软雅黑"/>
          <w:color w:val="000000" w:themeColor="text1"/>
          <w:sz w:val="24"/>
          <w:szCs w:val="28"/>
          <w14:textFill>
            <w14:solidFill>
              <w14:schemeClr w14:val="tx1"/>
            </w14:solidFill>
          </w14:textFill>
        </w:rPr>
        <w:t xml:space="preserve">    </w:t>
      </w:r>
      <w:r>
        <w:rPr>
          <w:rFonts w:hint="eastAsia" w:ascii="微软雅黑" w:hAnsi="微软雅黑" w:eastAsia="微软雅黑"/>
          <w:b/>
          <w:color w:val="000000" w:themeColor="text1"/>
          <w:sz w:val="24"/>
          <w:szCs w:val="28"/>
          <w14:textFill>
            <w14:solidFill>
              <w14:schemeClr w14:val="tx1"/>
            </w14:solidFill>
          </w14:textFill>
        </w:rPr>
        <w:t>如何完整构建企业的顶层设计？</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如何准确研判行业发展变迁趋势？ </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如何在大数据时代，企业战略发展开辟新路径？</w:t>
      </w:r>
    </w:p>
    <w:p>
      <w:pPr>
        <w:spacing w:line="560" w:lineRule="exact"/>
        <w:ind w:firstLine="480" w:firstLineChars="200"/>
        <w:rPr>
          <w:rFonts w:ascii="微软雅黑" w:hAnsi="微软雅黑" w:eastAsia="微软雅黑"/>
          <w:sz w:val="24"/>
          <w:szCs w:val="24"/>
        </w:rPr>
      </w:pPr>
      <w:r>
        <w:rPr>
          <w:rFonts w:hint="eastAsia" w:ascii="微软雅黑" w:hAnsi="微软雅黑" w:eastAsia="微软雅黑"/>
          <w:b/>
          <w:color w:val="000000" w:themeColor="text1"/>
          <w:sz w:val="24"/>
          <w:szCs w:val="28"/>
          <w14:textFill>
            <w14:solidFill>
              <w14:schemeClr w14:val="tx1"/>
            </w14:solidFill>
          </w14:textFill>
        </w:rPr>
        <w:t>如何营造</w:t>
      </w:r>
      <w:r>
        <w:rPr>
          <w:rFonts w:hint="eastAsia" w:ascii="微软雅黑" w:hAnsi="微软雅黑" w:eastAsia="微软雅黑"/>
          <w:b/>
          <w:sz w:val="24"/>
          <w:szCs w:val="28"/>
        </w:rPr>
        <w:t xml:space="preserve">“亲”、“清“ </w:t>
      </w:r>
      <w:r>
        <w:rPr>
          <w:rFonts w:hint="eastAsia" w:ascii="微软雅黑" w:hAnsi="微软雅黑" w:eastAsia="微软雅黑"/>
          <w:b/>
          <w:color w:val="000000" w:themeColor="text1"/>
          <w:sz w:val="24"/>
          <w:szCs w:val="28"/>
          <w14:textFill>
            <w14:solidFill>
              <w14:schemeClr w14:val="tx1"/>
            </w14:solidFill>
          </w14:textFill>
        </w:rPr>
        <w:t>新型政商关系？</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如何培养兼具竞争力和忠诚度的人才队伍？ </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如何构建公司治理结构和激励方案？ </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传统行业如何与互联网跨界融合？ </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b/>
          <w:color w:val="000000" w:themeColor="text1"/>
          <w:sz w:val="24"/>
          <w:szCs w:val="28"/>
          <w14:textFill>
            <w14:solidFill>
              <w14:schemeClr w14:val="tx1"/>
            </w14:solidFill>
          </w14:textFill>
        </w:rPr>
        <w:t xml:space="preserve">    企业如何拓展海外市场……</w:t>
      </w:r>
      <w:r>
        <w:rPr>
          <w:rFonts w:hint="eastAsia" w:ascii="微软雅黑" w:hAnsi="微软雅黑" w:eastAsia="微软雅黑"/>
          <w:b/>
          <w:color w:val="000000" w:themeColor="text1"/>
          <w:sz w:val="24"/>
          <w:szCs w:val="28"/>
          <w14:textFill>
            <w14:solidFill>
              <w14:schemeClr w14:val="tx1"/>
            </w14:solidFill>
          </w14:textFill>
        </w:rPr>
        <w:cr/>
      </w:r>
      <w:r>
        <w:rPr>
          <w:rFonts w:hint="eastAsia" w:ascii="微软雅黑" w:hAnsi="微软雅黑" w:eastAsia="微软雅黑"/>
          <w:sz w:val="24"/>
          <w:szCs w:val="24"/>
        </w:rPr>
        <w:t xml:space="preserve">    这些是企业家思考的痛点和难点，也是新华商总裁项目关注的焦点。先变而变，预见未来。</w:t>
      </w:r>
      <w:r>
        <w:rPr>
          <w:rFonts w:hint="eastAsia" w:ascii="微软雅黑" w:hAnsi="微软雅黑" w:eastAsia="微软雅黑"/>
          <w:sz w:val="24"/>
          <w:szCs w:val="24"/>
        </w:rPr>
        <w:cr/>
      </w:r>
      <w:r>
        <w:rPr>
          <w:rFonts w:hint="eastAsia" w:ascii="微软雅黑" w:hAnsi="微软雅黑" w:eastAsia="微软雅黑"/>
          <w:sz w:val="24"/>
          <w:szCs w:val="24"/>
        </w:rPr>
        <w:t xml:space="preserve">    华商总裁班，原是清华大学最具影响力的经典课程之一。 自2008年推出以来，持续为上数千家知名企业培养了近万名具有开拓创新精神的高层决策管理精英。本课程旨在培养管理者的综合管理能力和国际视野、塑造和提升领导力，孕育中国杰出的企业管理者。2018年新华商（EMBA）总裁班实现全面升级，从课程模块、师资团队、教学方式、知识收益等方面全方位巩固提升、帮助经济新常态下谋求创新发展的企业决策者，更好的聚焦企业核心竞争优势，突破发展禁锢，引领企业共同成长。</w:t>
      </w:r>
    </w:p>
    <w:p>
      <w:pPr>
        <w:spacing w:line="560" w:lineRule="exact"/>
        <w:ind w:firstLine="480" w:firstLineChars="200"/>
        <w:rPr>
          <w:rFonts w:ascii="微软雅黑" w:hAnsi="微软雅黑" w:eastAsia="微软雅黑"/>
          <w:sz w:val="24"/>
          <w:szCs w:val="24"/>
        </w:rPr>
      </w:pPr>
      <w:r>
        <w:rPr>
          <w:rFonts w:hint="eastAsia" w:ascii="微软雅黑" w:hAnsi="微软雅黑" w:eastAsia="微软雅黑"/>
          <w:sz w:val="24"/>
          <w:szCs w:val="24"/>
        </w:rPr>
        <w:t xml:space="preserve"> “清芬挺秀、同仁翘首”清同联合欢迎您走进清华园，加入新华商，迈向新时代。</w:t>
      </w:r>
    </w:p>
    <w:p>
      <w:pPr>
        <w:spacing w:line="560" w:lineRule="exact"/>
        <w:ind w:firstLine="720" w:firstLineChars="300"/>
        <w:rPr>
          <w:rFonts w:ascii="微软雅黑" w:hAnsi="微软雅黑" w:eastAsia="微软雅黑"/>
          <w:color w:val="000000" w:themeColor="text1"/>
          <w:sz w:val="24"/>
          <w:szCs w:val="28"/>
          <w14:textFill>
            <w14:solidFill>
              <w14:schemeClr w14:val="tx1"/>
            </w14:solidFill>
          </w14:textFill>
        </w:rPr>
      </w:pPr>
    </w:p>
    <w:p>
      <w:pPr>
        <w:pStyle w:val="20"/>
        <w:numPr>
          <w:ilvl w:val="0"/>
          <w:numId w:val="1"/>
        </w:numPr>
        <w:ind w:left="-567" w:firstLine="0"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color w:val="C00000"/>
          <w:sz w:val="40"/>
          <w:szCs w:val="28"/>
          <w:shd w:val="clear" w:color="auto" w:fill="FFFFFF"/>
        </w:rPr>
        <w:t>课程模块</w:t>
      </w:r>
    </w:p>
    <w:p>
      <w:pPr>
        <w:ind w:left="-567"/>
        <w:rPr>
          <w:rFonts w:hint="eastAsia" w:ascii="微软雅黑" w:hAnsi="微软雅黑" w:eastAsia="微软雅黑" w:cs="微软雅黑"/>
          <w:b/>
          <w:color w:val="C00000"/>
          <w:sz w:val="40"/>
          <w:szCs w:val="28"/>
          <w:shd w:val="clear" w:color="auto" w:fill="FFFFFF"/>
        </w:rPr>
      </w:pPr>
    </w:p>
    <w:tbl>
      <w:tblPr>
        <w:tblStyle w:val="13"/>
        <w:tblW w:w="9639"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4"/>
        <w:gridCol w:w="4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639" w:type="dxa"/>
            <w:gridSpan w:val="2"/>
            <w:shd w:val="clear" w:color="auto" w:fill="C00000"/>
          </w:tcPr>
          <w:p>
            <w:pPr>
              <w:pStyle w:val="19"/>
              <w:numPr>
                <w:ilvl w:val="0"/>
                <w:numId w:val="2"/>
              </w:numPr>
              <w:ind w:firstLineChars="0"/>
              <w:jc w:val="center"/>
              <w:rPr>
                <w:rFonts w:ascii="微软雅黑" w:hAnsi="微软雅黑" w:eastAsia="微软雅黑"/>
                <w:b/>
                <w:color w:val="FFFFFF" w:themeColor="background1"/>
                <w:sz w:val="28"/>
                <w:szCs w:val="21"/>
                <w14:textFill>
                  <w14:solidFill>
                    <w14:schemeClr w14:val="bg1"/>
                  </w14:solidFill>
                </w14:textFill>
              </w:rPr>
            </w:pPr>
            <w:r>
              <w:rPr>
                <w:rFonts w:hint="eastAsia" w:ascii="微软雅黑" w:hAnsi="微软雅黑" w:eastAsia="微软雅黑"/>
                <w:b/>
                <w:color w:val="FFFFFF" w:themeColor="background1"/>
                <w:sz w:val="28"/>
                <w:szCs w:val="21"/>
                <w14:textFill>
                  <w14:solidFill>
                    <w14:schemeClr w14:val="bg1"/>
                  </w14:solidFill>
                </w14:textFill>
              </w:rPr>
              <w:t>格局篇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639" w:type="dxa"/>
            <w:gridSpan w:val="2"/>
            <w:shd w:val="clear" w:color="auto" w:fill="auto"/>
          </w:tcPr>
          <w:p>
            <w:pPr>
              <w:pStyle w:val="19"/>
              <w:ind w:firstLine="480"/>
              <w:rPr>
                <w:rFonts w:ascii="微软雅黑" w:hAnsi="微软雅黑" w:eastAsia="微软雅黑"/>
                <w:sz w:val="24"/>
                <w:szCs w:val="24"/>
              </w:rPr>
            </w:pPr>
            <w:r>
              <w:rPr>
                <w:rFonts w:hint="eastAsia" w:ascii="微软雅黑" w:hAnsi="微软雅黑" w:eastAsia="微软雅黑"/>
                <w:sz w:val="24"/>
                <w:szCs w:val="24"/>
              </w:rPr>
              <w:t>面对新经济时代复杂的商业环境，企业领军人对商业格局的理解决定企业的发展高度。通过对当前宏观经济、政策、商业环境演变趋势的研判和解读，使学员能够把握时代脉络，拓展商业思考广度和深度，多层次、多维度延展商业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trPr>
        <w:tc>
          <w:tcPr>
            <w:tcW w:w="4774" w:type="dxa"/>
            <w:tcBorders>
              <w:bottom w:val="single" w:color="auto" w:sz="4" w:space="0"/>
            </w:tcBorders>
          </w:tcPr>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全球背景下的中国经济</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企业转型与产业升级</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信息社会与商业变革</w:t>
            </w:r>
          </w:p>
        </w:tc>
        <w:tc>
          <w:tcPr>
            <w:tcW w:w="4865" w:type="dxa"/>
            <w:tcBorders>
              <w:bottom w:val="single" w:color="auto" w:sz="4" w:space="0"/>
            </w:tcBorders>
          </w:tcPr>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战略新思维：应变与颠覆</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轻资产时代与新兴趋势</w:t>
            </w:r>
          </w:p>
          <w:p>
            <w:pPr>
              <w:pStyle w:val="7"/>
              <w:numPr>
                <w:ilvl w:val="0"/>
                <w:numId w:val="3"/>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新时代商业模式创新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639" w:type="dxa"/>
            <w:gridSpan w:val="2"/>
            <w:tcBorders>
              <w:top w:val="single" w:color="auto" w:sz="4" w:space="0"/>
              <w:left w:val="single" w:color="auto" w:sz="4" w:space="0"/>
              <w:bottom w:val="single" w:color="auto" w:sz="4" w:space="0"/>
              <w:right w:val="single" w:color="auto" w:sz="4" w:space="0"/>
            </w:tcBorders>
            <w:shd w:val="clear" w:color="auto" w:fill="C00000"/>
          </w:tcPr>
          <w:p>
            <w:pPr>
              <w:pStyle w:val="19"/>
              <w:ind w:firstLine="0" w:firstLineChars="0"/>
              <w:jc w:val="center"/>
              <w:rPr>
                <w:rFonts w:ascii="微软雅黑" w:hAnsi="微软雅黑" w:eastAsia="微软雅黑"/>
                <w:b/>
                <w:color w:val="FFFFFF" w:themeColor="background1"/>
                <w:sz w:val="28"/>
                <w:szCs w:val="21"/>
                <w14:textFill>
                  <w14:solidFill>
                    <w14:schemeClr w14:val="bg1"/>
                  </w14:solidFill>
                </w14:textFill>
              </w:rPr>
            </w:pPr>
            <w:r>
              <w:rPr>
                <w:rFonts w:hint="eastAsia" w:ascii="微软雅黑" w:hAnsi="微软雅黑" w:eastAsia="微软雅黑"/>
                <w:b/>
                <w:color w:val="FFFFFF" w:themeColor="background1"/>
                <w:sz w:val="28"/>
                <w:szCs w:val="21"/>
                <w14:textFill>
                  <w14:solidFill>
                    <w14:schemeClr w14:val="bg1"/>
                  </w14:solidFill>
                </w14:textFill>
              </w:rPr>
              <w:t>二、管理基础篇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639" w:type="dxa"/>
            <w:gridSpan w:val="2"/>
            <w:tcBorders>
              <w:top w:val="single" w:color="auto" w:sz="4" w:space="0"/>
              <w:left w:val="single" w:color="auto" w:sz="4" w:space="0"/>
              <w:bottom w:val="single" w:color="auto" w:sz="4" w:space="0"/>
              <w:right w:val="single" w:color="auto" w:sz="4" w:space="0"/>
            </w:tcBorders>
            <w:shd w:val="clear" w:color="auto" w:fill="auto"/>
          </w:tcPr>
          <w:p>
            <w:pPr>
              <w:pStyle w:val="19"/>
              <w:ind w:firstLine="480"/>
              <w:rPr>
                <w:rFonts w:ascii="微软雅黑" w:hAnsi="微软雅黑" w:eastAsia="微软雅黑"/>
                <w:sz w:val="24"/>
                <w:szCs w:val="24"/>
              </w:rPr>
            </w:pPr>
            <w:r>
              <w:rPr>
                <w:rFonts w:hint="eastAsia" w:ascii="微软雅黑" w:hAnsi="微软雅黑" w:eastAsia="微软雅黑"/>
                <w:sz w:val="24"/>
                <w:szCs w:val="24"/>
              </w:rPr>
              <w:t>企业高层要能对关系全局、长远、根本性的重大问题做出准确分析、判断、预见和决策，突破固有思维模式，提升把握机遇、整合资源及规避风险的能力，在激烈的商业竞争中提高核心竞争力，赢得竞争主导权。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trPr>
        <w:tc>
          <w:tcPr>
            <w:tcW w:w="4774" w:type="dxa"/>
            <w:tcBorders>
              <w:top w:val="single" w:color="auto" w:sz="4" w:space="0"/>
            </w:tcBorders>
          </w:tcPr>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组织行为学</w:t>
            </w:r>
            <w:r>
              <w:rPr>
                <w:rFonts w:ascii="微软雅黑" w:hAnsi="微软雅黑" w:eastAsia="微软雅黑" w:cs="Times New Roman"/>
                <w:color w:val="000000" w:themeColor="text1"/>
                <w:kern w:val="2"/>
                <w:szCs w:val="28"/>
                <w14:textFill>
                  <w14:solidFill>
                    <w14:schemeClr w14:val="tx1"/>
                  </w14:solidFill>
                </w14:textFill>
              </w:rPr>
              <w:t>—</w:t>
            </w:r>
            <w:r>
              <w:rPr>
                <w:rFonts w:hint="eastAsia" w:ascii="微软雅黑" w:hAnsi="微软雅黑" w:eastAsia="微软雅黑" w:cs="Times New Roman"/>
                <w:color w:val="000000" w:themeColor="text1"/>
                <w:kern w:val="2"/>
                <w:szCs w:val="28"/>
                <w14:textFill>
                  <w14:solidFill>
                    <w14:schemeClr w14:val="tx1"/>
                  </w14:solidFill>
                </w14:textFill>
              </w:rPr>
              <w:t>预测、引导、激励</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时代背景下的组织与人力资源管理创新</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 xml:space="preserve">营销新理念与定位地图 </w:t>
            </w:r>
          </w:p>
        </w:tc>
        <w:tc>
          <w:tcPr>
            <w:tcW w:w="4865" w:type="dxa"/>
            <w:tcBorders>
              <w:top w:val="single" w:color="auto" w:sz="4" w:space="0"/>
            </w:tcBorders>
          </w:tcPr>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税务管理与税务筹划</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变动环境中企业战略管理智慧</w:t>
            </w:r>
          </w:p>
          <w:p>
            <w:pPr>
              <w:pStyle w:val="7"/>
              <w:numPr>
                <w:ilvl w:val="0"/>
                <w:numId w:val="4"/>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大数据时代重构数字营销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639" w:type="dxa"/>
            <w:gridSpan w:val="2"/>
            <w:tcBorders>
              <w:top w:val="nil"/>
              <w:left w:val="nil"/>
              <w:bottom w:val="nil"/>
              <w:right w:val="nil"/>
            </w:tcBorders>
            <w:shd w:val="clear" w:color="auto" w:fill="C00000"/>
          </w:tcPr>
          <w:p>
            <w:pPr>
              <w:pStyle w:val="19"/>
              <w:ind w:firstLine="0" w:firstLineChars="0"/>
              <w:jc w:val="center"/>
              <w:rPr>
                <w:rFonts w:ascii="微软雅黑" w:hAnsi="微软雅黑" w:eastAsia="微软雅黑"/>
                <w:b/>
                <w:color w:val="FFFFFF" w:themeColor="background1"/>
                <w:sz w:val="28"/>
                <w:szCs w:val="21"/>
                <w14:textFill>
                  <w14:solidFill>
                    <w14:schemeClr w14:val="bg1"/>
                  </w14:solidFill>
                </w14:textFill>
              </w:rPr>
            </w:pPr>
            <w:r>
              <w:rPr>
                <w:rFonts w:hint="eastAsia" w:ascii="微软雅黑" w:hAnsi="微软雅黑" w:eastAsia="微软雅黑"/>
                <w:b/>
                <w:color w:val="FFFFFF" w:themeColor="background1"/>
                <w:sz w:val="28"/>
                <w:szCs w:val="21"/>
                <w14:textFill>
                  <w14:solidFill>
                    <w14:schemeClr w14:val="bg1"/>
                  </w14:solidFill>
                </w14:textFill>
              </w:rPr>
              <w:t>管理延展篇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9" w:hRule="atLeast"/>
        </w:trPr>
        <w:tc>
          <w:tcPr>
            <w:tcW w:w="4774" w:type="dxa"/>
            <w:tcBorders>
              <w:top w:val="nil"/>
            </w:tcBorders>
          </w:tcPr>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企业运营框架——世界 500 强之道</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领导者言语表达艺术——谈判、演讲</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品牌打造企业竞争优势及案例分享</w:t>
            </w:r>
          </w:p>
        </w:tc>
        <w:tc>
          <w:tcPr>
            <w:tcW w:w="4865" w:type="dxa"/>
            <w:tcBorders>
              <w:top w:val="nil"/>
            </w:tcBorders>
          </w:tcPr>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企业竞争和成长战略</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卓越领导力</w:t>
            </w:r>
          </w:p>
          <w:p>
            <w:pPr>
              <w:pStyle w:val="7"/>
              <w:numPr>
                <w:ilvl w:val="0"/>
                <w:numId w:val="5"/>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商务礼仪与人际沟通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C00000"/>
          </w:tcPr>
          <w:p>
            <w:pPr>
              <w:pStyle w:val="19"/>
              <w:ind w:firstLine="0" w:firstLineChars="0"/>
              <w:jc w:val="center"/>
              <w:rPr>
                <w:rFonts w:ascii="微软雅黑" w:hAnsi="微软雅黑" w:eastAsia="微软雅黑"/>
                <w:b/>
                <w:color w:val="FFFFFF" w:themeColor="background1"/>
                <w:sz w:val="28"/>
                <w:szCs w:val="21"/>
                <w14:textFill>
                  <w14:solidFill>
                    <w14:schemeClr w14:val="bg1"/>
                  </w14:solidFill>
                </w14:textFill>
              </w:rPr>
            </w:pPr>
            <w:r>
              <w:rPr>
                <w:rFonts w:hint="eastAsia" w:ascii="微软雅黑" w:hAnsi="微软雅黑" w:eastAsia="微软雅黑"/>
                <w:b/>
                <w:color w:val="FFFFFF" w:themeColor="background1"/>
                <w:sz w:val="28"/>
                <w:szCs w:val="21"/>
                <w14:textFill>
                  <w14:solidFill>
                    <w14:schemeClr w14:val="bg1"/>
                  </w14:solidFill>
                </w14:textFill>
              </w:rPr>
              <w:t>三、决策篇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auto"/>
          </w:tcPr>
          <w:p>
            <w:pPr>
              <w:pStyle w:val="19"/>
              <w:ind w:firstLine="480"/>
              <w:rPr>
                <w:rFonts w:ascii="微软雅黑" w:hAnsi="微软雅黑" w:eastAsia="微软雅黑"/>
                <w:sz w:val="24"/>
                <w:szCs w:val="24"/>
              </w:rPr>
            </w:pPr>
            <w:r>
              <w:rPr>
                <w:rFonts w:hint="eastAsia" w:ascii="微软雅黑" w:hAnsi="微软雅黑" w:eastAsia="微软雅黑"/>
                <w:sz w:val="24"/>
                <w:szCs w:val="24"/>
              </w:rPr>
              <w:t>企业家如何快速应对商业模式、公司治理、财务、税务等现实问题，决定了企业能走多快、走多远，企业家要在重大问题面前，保持冷静，思维缜密的考虑问题，做出果断而准确的判断。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trPr>
        <w:tc>
          <w:tcPr>
            <w:tcW w:w="4774" w:type="dxa"/>
          </w:tcPr>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企业经营决策与解析</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股权激励方案建立合伙人进退机制</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资本运营与金融决策</w:t>
            </w:r>
          </w:p>
        </w:tc>
        <w:tc>
          <w:tcPr>
            <w:tcW w:w="4865" w:type="dxa"/>
          </w:tcPr>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企业财务决策与分析</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企业全面经营决策沙盘</w:t>
            </w:r>
          </w:p>
          <w:p>
            <w:pPr>
              <w:pStyle w:val="7"/>
              <w:numPr>
                <w:ilvl w:val="0"/>
                <w:numId w:val="6"/>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公司运营之商业模式设计与创新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C00000"/>
          </w:tcPr>
          <w:p>
            <w:pPr>
              <w:pStyle w:val="19"/>
              <w:ind w:firstLine="0" w:firstLineChars="0"/>
              <w:jc w:val="center"/>
              <w:rPr>
                <w:rFonts w:ascii="微软雅黑" w:hAnsi="微软雅黑" w:eastAsia="微软雅黑"/>
                <w:b/>
                <w:color w:val="FFFFFF" w:themeColor="background1"/>
                <w:sz w:val="28"/>
                <w:szCs w:val="21"/>
                <w14:textFill>
                  <w14:solidFill>
                    <w14:schemeClr w14:val="bg1"/>
                  </w14:solidFill>
                </w14:textFill>
              </w:rPr>
            </w:pPr>
            <w:r>
              <w:rPr>
                <w:rFonts w:hint="eastAsia" w:ascii="微软雅黑" w:hAnsi="微软雅黑" w:eastAsia="微软雅黑"/>
                <w:b/>
                <w:color w:val="FFFFFF" w:themeColor="background1"/>
                <w:sz w:val="28"/>
                <w:szCs w:val="21"/>
                <w14:textFill>
                  <w14:solidFill>
                    <w14:schemeClr w14:val="bg1"/>
                  </w14:solidFill>
                </w14:textFill>
              </w:rPr>
              <w:t>四、资本篇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auto"/>
          </w:tcPr>
          <w:p>
            <w:pPr>
              <w:pStyle w:val="19"/>
              <w:ind w:firstLine="480"/>
              <w:rPr>
                <w:rFonts w:ascii="微软雅黑" w:hAnsi="微软雅黑" w:eastAsia="微软雅黑"/>
                <w:sz w:val="24"/>
                <w:szCs w:val="24"/>
              </w:rPr>
            </w:pPr>
            <w:r>
              <w:rPr>
                <w:rFonts w:hint="eastAsia" w:ascii="微软雅黑" w:hAnsi="微软雅黑" w:eastAsia="微软雅黑"/>
                <w:sz w:val="24"/>
                <w:szCs w:val="24"/>
              </w:rPr>
              <w:t>金融与资本市场快速发展给企业带来了无限机遇，创造了无数的财富传奇！作为新经济时代下的企业家们，要拥抱趋势，看清资本本质，理清投资逻辑，把握投资机会，让资本为企业服务。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8" w:hRule="atLeast"/>
        </w:trPr>
        <w:tc>
          <w:tcPr>
            <w:tcW w:w="4774" w:type="dxa"/>
          </w:tcPr>
          <w:p>
            <w:pPr>
              <w:pStyle w:val="7"/>
              <w:numPr>
                <w:ilvl w:val="0"/>
                <w:numId w:val="7"/>
              </w:numPr>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s="Times New Roman"/>
                <w:color w:val="000000" w:themeColor="text1"/>
                <w:kern w:val="2"/>
                <w:szCs w:val="28"/>
                <w14:textFill>
                  <w14:solidFill>
                    <w14:schemeClr w14:val="tx1"/>
                  </w14:solidFill>
                </w14:textFill>
              </w:rPr>
              <w:t>私募股权与企业投融资</w:t>
            </w:r>
          </w:p>
          <w:p>
            <w:pPr>
              <w:pStyle w:val="7"/>
              <w:numPr>
                <w:ilvl w:val="0"/>
                <w:numId w:val="7"/>
              </w:numPr>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olor w:val="333333"/>
                <w:szCs w:val="21"/>
              </w:rPr>
              <w:t>证券市场与期货期权投资</w:t>
            </w:r>
          </w:p>
          <w:p>
            <w:pPr>
              <w:pStyle w:val="7"/>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3.企业融资规划与上市运作</w:t>
            </w:r>
          </w:p>
        </w:tc>
        <w:tc>
          <w:tcPr>
            <w:tcW w:w="4865" w:type="dxa"/>
          </w:tcPr>
          <w:p>
            <w:pPr>
              <w:pStyle w:val="7"/>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s="Times New Roman"/>
                <w:color w:val="000000" w:themeColor="text1"/>
                <w:kern w:val="2"/>
                <w:szCs w:val="28"/>
                <w14:textFill>
                  <w14:solidFill>
                    <w14:schemeClr w14:val="tx1"/>
                  </w14:solidFill>
                </w14:textFill>
              </w:rPr>
              <w:t>4.投资决策与并购重组</w:t>
            </w:r>
          </w:p>
          <w:p>
            <w:pPr>
              <w:pStyle w:val="7"/>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olor w:val="333333"/>
                <w:szCs w:val="21"/>
              </w:rPr>
              <w:t>5.市值管理与价值倍增</w:t>
            </w:r>
          </w:p>
          <w:p>
            <w:pPr>
              <w:pStyle w:val="7"/>
              <w:shd w:val="clear" w:color="auto" w:fill="FFFFFF"/>
              <w:spacing w:beforeAutospacing="0" w:afterAutospacing="0" w:line="320" w:lineRule="exact"/>
              <w:rPr>
                <w:rFonts w:ascii="微软雅黑" w:hAnsi="微软雅黑" w:eastAsia="微软雅黑"/>
                <w:color w:val="333333"/>
                <w:szCs w:val="21"/>
              </w:rPr>
            </w:pPr>
            <w:r>
              <w:rPr>
                <w:rFonts w:hint="eastAsia" w:ascii="微软雅黑" w:hAnsi="微软雅黑" w:eastAsia="微软雅黑"/>
                <w:color w:val="333333"/>
                <w:szCs w:val="21"/>
              </w:rPr>
              <w:t>6.区块链应用与创新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C00000"/>
          </w:tcPr>
          <w:p>
            <w:pPr>
              <w:pStyle w:val="19"/>
              <w:ind w:firstLine="0" w:firstLineChars="0"/>
              <w:jc w:val="center"/>
              <w:rPr>
                <w:rFonts w:ascii="微软雅黑" w:hAnsi="微软雅黑" w:eastAsia="微软雅黑"/>
                <w:b/>
                <w:color w:val="FFFFFF" w:themeColor="background1"/>
                <w:sz w:val="28"/>
                <w:szCs w:val="21"/>
                <w14:textFill>
                  <w14:solidFill>
                    <w14:schemeClr w14:val="bg1"/>
                  </w14:solidFill>
                </w14:textFill>
              </w:rPr>
            </w:pPr>
            <w:r>
              <w:rPr>
                <w:rFonts w:hint="eastAsia" w:ascii="微软雅黑" w:hAnsi="微软雅黑" w:eastAsia="微软雅黑"/>
                <w:b/>
                <w:color w:val="FFFFFF" w:themeColor="background1"/>
                <w:sz w:val="28"/>
                <w:szCs w:val="21"/>
                <w14:textFill>
                  <w14:solidFill>
                    <w14:schemeClr w14:val="bg1"/>
                  </w14:solidFill>
                </w14:textFill>
              </w:rPr>
              <w:t>五、文化篇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auto"/>
          </w:tcPr>
          <w:p>
            <w:pPr>
              <w:pStyle w:val="20"/>
              <w:ind w:firstLine="480"/>
              <w:rPr>
                <w:rFonts w:ascii="微软雅黑" w:hAnsi="微软雅黑" w:eastAsia="微软雅黑"/>
                <w:sz w:val="24"/>
                <w:szCs w:val="24"/>
              </w:rPr>
            </w:pPr>
            <w:r>
              <w:rPr>
                <w:rFonts w:ascii="微软雅黑" w:hAnsi="微软雅黑" w:eastAsia="微软雅黑"/>
                <w:sz w:val="24"/>
                <w:szCs w:val="24"/>
              </w:rPr>
              <w:t>企业文化是推动</w:t>
            </w:r>
            <w:r>
              <w:fldChar w:fldCharType="begin"/>
            </w:r>
            <w:r>
              <w:instrText xml:space="preserve"> HYPERLINK "https://baike.baidu.com/item/%E4%BC%81%E4%B8%9A%E5%8F%91%E5%B1%95" \t "_blank" </w:instrText>
            </w:r>
            <w:r>
              <w:fldChar w:fldCharType="separate"/>
            </w:r>
            <w:r>
              <w:rPr>
                <w:rFonts w:ascii="微软雅黑" w:hAnsi="微软雅黑" w:eastAsia="微软雅黑"/>
                <w:sz w:val="24"/>
                <w:szCs w:val="24"/>
              </w:rPr>
              <w:t>企业发展</w:t>
            </w:r>
            <w:r>
              <w:rPr>
                <w:rFonts w:ascii="微软雅黑" w:hAnsi="微软雅黑" w:eastAsia="微软雅黑"/>
                <w:sz w:val="24"/>
                <w:szCs w:val="24"/>
              </w:rPr>
              <w:fldChar w:fldCharType="end"/>
            </w:r>
            <w:r>
              <w:rPr>
                <w:rFonts w:ascii="微软雅黑" w:hAnsi="微软雅黑" w:eastAsia="微软雅黑"/>
                <w:sz w:val="24"/>
                <w:szCs w:val="24"/>
              </w:rPr>
              <w:t>的不竭动力。包含非常丰富的内容，其核心是企业的精神和价值观。是企业个性化的根本体现，是企业</w:t>
            </w:r>
            <w:r>
              <w:fldChar w:fldCharType="begin"/>
            </w:r>
            <w:r>
              <w:instrText xml:space="preserve"> HYPERLINK "https://baike.baidu.com/item/%E7%94%9F%E5%AD%98/82420" \t "_blank" </w:instrText>
            </w:r>
            <w:r>
              <w:fldChar w:fldCharType="separate"/>
            </w:r>
            <w:r>
              <w:rPr>
                <w:rFonts w:ascii="微软雅黑" w:hAnsi="微软雅黑" w:eastAsia="微软雅黑"/>
                <w:sz w:val="24"/>
                <w:szCs w:val="24"/>
              </w:rPr>
              <w:t>生存</w:t>
            </w:r>
            <w:r>
              <w:rPr>
                <w:rFonts w:ascii="微软雅黑" w:hAnsi="微软雅黑" w:eastAsia="微软雅黑"/>
                <w:sz w:val="24"/>
                <w:szCs w:val="24"/>
              </w:rPr>
              <w:fldChar w:fldCharType="end"/>
            </w:r>
            <w:r>
              <w:rPr>
                <w:rFonts w:ascii="微软雅黑" w:hAnsi="微软雅黑" w:eastAsia="微软雅黑"/>
                <w:sz w:val="24"/>
                <w:szCs w:val="24"/>
              </w:rPr>
              <w:t>、竞争和</w:t>
            </w:r>
            <w:r>
              <w:fldChar w:fldCharType="begin"/>
            </w:r>
            <w:r>
              <w:instrText xml:space="preserve"> HYPERLINK "https://baike.baidu.com/item/%E5%8F%91%E5%B1%95/32354" \t "_blank" </w:instrText>
            </w:r>
            <w:r>
              <w:fldChar w:fldCharType="separate"/>
            </w:r>
            <w:r>
              <w:rPr>
                <w:rFonts w:ascii="微软雅黑" w:hAnsi="微软雅黑" w:eastAsia="微软雅黑"/>
                <w:sz w:val="24"/>
                <w:szCs w:val="24"/>
              </w:rPr>
              <w:t>发展</w:t>
            </w:r>
            <w:r>
              <w:rPr>
                <w:rFonts w:ascii="微软雅黑" w:hAnsi="微软雅黑" w:eastAsia="微软雅黑"/>
                <w:sz w:val="24"/>
                <w:szCs w:val="24"/>
              </w:rPr>
              <w:fldChar w:fldCharType="end"/>
            </w:r>
            <w:r>
              <w:rPr>
                <w:rFonts w:ascii="微软雅黑" w:hAnsi="微软雅黑" w:eastAsia="微软雅黑"/>
                <w:sz w:val="24"/>
                <w:szCs w:val="24"/>
              </w:rPr>
              <w:t>的灵魂。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2" w:hRule="atLeast"/>
        </w:trPr>
        <w:tc>
          <w:tcPr>
            <w:tcW w:w="4774" w:type="dxa"/>
          </w:tcPr>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国学智慧与领导艺术</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企业文化与企业竞争力</w:t>
            </w:r>
          </w:p>
          <w:p>
            <w:pPr>
              <w:pStyle w:val="7"/>
              <w:numPr>
                <w:ilvl w:val="0"/>
                <w:numId w:val="8"/>
              </w:numPr>
              <w:shd w:val="clear" w:color="auto" w:fill="FFFFFF"/>
              <w:spacing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ab/>
            </w:r>
            <w:r>
              <w:rPr>
                <w:rFonts w:hint="eastAsia" w:ascii="微软雅黑" w:hAnsi="微软雅黑" w:eastAsia="微软雅黑" w:cs="Times New Roman"/>
                <w:color w:val="000000" w:themeColor="text1"/>
                <w:kern w:val="2"/>
                <w:szCs w:val="28"/>
                <w14:textFill>
                  <w14:solidFill>
                    <w14:schemeClr w14:val="tx1"/>
                  </w14:solidFill>
                </w14:textFill>
              </w:rPr>
              <w:t>儒家、道家和企业家精神</w:t>
            </w:r>
          </w:p>
        </w:tc>
        <w:tc>
          <w:tcPr>
            <w:tcW w:w="4865" w:type="dxa"/>
          </w:tcPr>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中国人的智慧——《周易》</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中国传统文化与企业管理</w:t>
            </w:r>
          </w:p>
          <w:p>
            <w:pPr>
              <w:pStyle w:val="7"/>
              <w:numPr>
                <w:ilvl w:val="0"/>
                <w:numId w:val="8"/>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企业转型升级与企业文化创新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C00000"/>
          </w:tcPr>
          <w:p>
            <w:pPr>
              <w:pStyle w:val="19"/>
              <w:ind w:firstLine="0" w:firstLineChars="0"/>
              <w:jc w:val="center"/>
              <w:rPr>
                <w:rFonts w:ascii="微软雅黑" w:hAnsi="微软雅黑" w:eastAsia="微软雅黑"/>
                <w:b/>
                <w:color w:val="FFFFFF" w:themeColor="background1"/>
                <w:sz w:val="28"/>
                <w:szCs w:val="21"/>
                <w14:textFill>
                  <w14:solidFill>
                    <w14:schemeClr w14:val="bg1"/>
                  </w14:solidFill>
                </w14:textFill>
              </w:rPr>
            </w:pPr>
            <w:r>
              <w:rPr>
                <w:rFonts w:hint="eastAsia" w:ascii="微软雅黑" w:hAnsi="微软雅黑" w:eastAsia="微软雅黑"/>
                <w:b/>
                <w:color w:val="FFFFFF" w:themeColor="background1"/>
                <w:sz w:val="28"/>
                <w:szCs w:val="21"/>
                <w14:textFill>
                  <w14:solidFill>
                    <w14:schemeClr w14:val="bg1"/>
                  </w14:solidFill>
                </w14:textFill>
              </w:rPr>
              <w:t>六、视野篇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9" w:type="dxa"/>
            <w:gridSpan w:val="2"/>
            <w:shd w:val="clear" w:color="auto" w:fill="auto"/>
          </w:tcPr>
          <w:p>
            <w:pPr>
              <w:pStyle w:val="19"/>
              <w:ind w:firstLine="480"/>
              <w:jc w:val="left"/>
              <w:rPr>
                <w:rFonts w:ascii="微软雅黑" w:hAnsi="微软雅黑" w:eastAsia="微软雅黑"/>
                <w:b/>
                <w:color w:val="FFFFFF" w:themeColor="background1"/>
                <w:sz w:val="28"/>
                <w:szCs w:val="21"/>
                <w14:textFill>
                  <w14:solidFill>
                    <w14:schemeClr w14:val="bg1"/>
                  </w14:solidFill>
                </w14:textFill>
              </w:rPr>
            </w:pPr>
            <w:r>
              <w:rPr>
                <w:rFonts w:hint="eastAsia" w:ascii="微软雅黑" w:hAnsi="微软雅黑" w:eastAsia="微软雅黑"/>
                <w:sz w:val="24"/>
                <w:szCs w:val="24"/>
              </w:rPr>
              <w:t>创新、跨界、融合是企业通向未来之路的趋势，企业高管的产业视野则是开启未来之门的钥匙。课程对接北大独有的产学研资源，配合移动课堂等形式，帮助学员了解最新科技和产业发展动向，寻找合作创新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7" w:hRule="atLeast"/>
        </w:trPr>
        <w:tc>
          <w:tcPr>
            <w:tcW w:w="4774" w:type="dxa"/>
          </w:tcPr>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科技变革——未来科技与颠覆式创新</w:t>
            </w:r>
          </w:p>
          <w:p>
            <w:pPr>
              <w:pStyle w:val="7"/>
              <w:numPr>
                <w:ilvl w:val="0"/>
                <w:numId w:val="9"/>
              </w:numPr>
              <w:shd w:val="clear" w:color="auto" w:fill="FFFFFF"/>
              <w:spacing w:beforeAutospacing="0" w:afterAutospacing="0" w:line="320" w:lineRule="exact"/>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人工智能AI与未来应用</w:t>
            </w:r>
          </w:p>
          <w:p>
            <w:pPr>
              <w:pStyle w:val="20"/>
              <w:numPr>
                <w:ilvl w:val="0"/>
                <w:numId w:val="9"/>
              </w:numPr>
              <w:ind w:firstLineChars="0"/>
              <w:rPr>
                <w:rFonts w:ascii="微软雅黑" w:hAnsi="微软雅黑" w:eastAsia="微软雅黑"/>
                <w:color w:val="000000" w:themeColor="text1"/>
                <w:sz w:val="24"/>
                <w:szCs w:val="28"/>
                <w14:textFill>
                  <w14:solidFill>
                    <w14:schemeClr w14:val="tx1"/>
                  </w14:solidFill>
                </w14:textFill>
              </w:rPr>
            </w:pPr>
            <w:r>
              <w:rPr>
                <w:rFonts w:hint="eastAsia" w:ascii="微软雅黑" w:hAnsi="微软雅黑" w:eastAsia="微软雅黑"/>
                <w:color w:val="000000" w:themeColor="text1"/>
                <w:sz w:val="24"/>
                <w:szCs w:val="28"/>
                <w14:textFill>
                  <w14:solidFill>
                    <w14:schemeClr w14:val="tx1"/>
                  </w14:solidFill>
                </w14:textFill>
              </w:rPr>
              <w:t xml:space="preserve">“一带一路”下战略布局与新的合作机遇 </w:t>
            </w:r>
          </w:p>
        </w:tc>
        <w:tc>
          <w:tcPr>
            <w:tcW w:w="4865" w:type="dxa"/>
          </w:tcPr>
          <w:p>
            <w:pPr>
              <w:pStyle w:val="7"/>
              <w:shd w:val="clear" w:color="auto" w:fill="FFFFFF"/>
              <w:spacing w:line="320" w:lineRule="exact"/>
              <w:ind w:left="284"/>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4.企业参观考察</w:t>
            </w:r>
          </w:p>
          <w:p>
            <w:pPr>
              <w:pStyle w:val="7"/>
              <w:shd w:val="clear" w:color="auto" w:fill="FFFFFF"/>
              <w:spacing w:beforeAutospacing="0" w:afterAutospacing="0" w:line="320" w:lineRule="exact"/>
              <w:ind w:left="284"/>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5.信息技术前沿与设计应用</w:t>
            </w:r>
          </w:p>
          <w:p>
            <w:pPr>
              <w:pStyle w:val="7"/>
              <w:shd w:val="clear" w:color="auto" w:fill="FFFFFF"/>
              <w:spacing w:beforeAutospacing="0" w:afterAutospacing="0" w:line="320" w:lineRule="exact"/>
              <w:ind w:left="284"/>
              <w:rPr>
                <w:rFonts w:ascii="微软雅黑" w:hAnsi="微软雅黑" w:eastAsia="微软雅黑" w:cs="Times New Roman"/>
                <w:color w:val="000000" w:themeColor="text1"/>
                <w:kern w:val="2"/>
                <w:szCs w:val="28"/>
                <w14:textFill>
                  <w14:solidFill>
                    <w14:schemeClr w14:val="tx1"/>
                  </w14:solidFill>
                </w14:textFill>
              </w:rPr>
            </w:pPr>
            <w:r>
              <w:rPr>
                <w:rFonts w:hint="eastAsia" w:ascii="微软雅黑" w:hAnsi="微软雅黑" w:eastAsia="微软雅黑" w:cs="Times New Roman"/>
                <w:color w:val="000000" w:themeColor="text1"/>
                <w:kern w:val="2"/>
                <w:szCs w:val="28"/>
                <w14:textFill>
                  <w14:solidFill>
                    <w14:schemeClr w14:val="tx1"/>
                  </w14:solidFill>
                </w14:textFill>
              </w:rPr>
              <w:t>6.互联网思维</w:t>
            </w:r>
            <w:bookmarkStart w:id="0" w:name="_GoBack"/>
            <w:bookmarkEnd w:id="0"/>
          </w:p>
        </w:tc>
      </w:tr>
    </w:tbl>
    <w:p>
      <w:pPr>
        <w:pStyle w:val="20"/>
        <w:spacing w:line="600" w:lineRule="exact"/>
        <w:ind w:firstLine="0" w:firstLineChars="0"/>
        <w:rPr>
          <w:rFonts w:ascii="微软雅黑" w:hAnsi="微软雅黑" w:eastAsia="微软雅黑" w:cs="微软雅黑"/>
          <w:b/>
          <w:color w:val="C00000"/>
          <w:sz w:val="40"/>
          <w:szCs w:val="28"/>
          <w:shd w:val="clear" w:color="auto" w:fill="FFFFFF"/>
        </w:rPr>
      </w:pPr>
    </w:p>
    <w:p>
      <w:pPr>
        <w:pStyle w:val="20"/>
        <w:numPr>
          <w:ilvl w:val="0"/>
          <w:numId w:val="1"/>
        </w:numPr>
        <w:spacing w:before="312" w:beforeLines="100" w:after="156" w:afterLines="50" w:line="600" w:lineRule="exact"/>
        <w:ind w:left="0" w:hanging="425"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课程</w:t>
      </w:r>
      <w:r>
        <w:rPr>
          <w:rFonts w:hint="eastAsia" w:ascii="微软雅黑" w:hAnsi="微软雅黑" w:eastAsia="微软雅黑" w:cs="微软雅黑"/>
          <w:b/>
          <w:color w:val="C00000"/>
          <w:sz w:val="40"/>
          <w:szCs w:val="28"/>
          <w:shd w:val="clear" w:color="auto" w:fill="FFFFFF"/>
        </w:rPr>
        <w:t>特色</w:t>
      </w:r>
    </w:p>
    <w:p>
      <w:pPr>
        <w:pStyle w:val="20"/>
        <w:spacing w:line="600" w:lineRule="exact"/>
        <w:ind w:firstLine="0"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kern w:val="0"/>
          <w:sz w:val="24"/>
          <w:szCs w:val="24"/>
        </w:rPr>
        <w:t>1.云集权威大家，师承一脉</w:t>
      </w:r>
    </w:p>
    <w:p>
      <w:pPr>
        <w:spacing w:line="56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授课团队有国家政策型专家</w:t>
      </w:r>
      <w:r>
        <w:rPr>
          <w:rFonts w:ascii="微软雅黑" w:hAnsi="微软雅黑" w:eastAsia="微软雅黑" w:cs="微软雅黑"/>
          <w:kern w:val="0"/>
          <w:sz w:val="24"/>
          <w:szCs w:val="24"/>
        </w:rPr>
        <w:t>、</w:t>
      </w:r>
      <w:r>
        <w:rPr>
          <w:rFonts w:hint="eastAsia" w:ascii="微软雅黑" w:hAnsi="微软雅黑" w:eastAsia="微软雅黑" w:cs="微软雅黑"/>
          <w:kern w:val="0"/>
          <w:sz w:val="24"/>
          <w:szCs w:val="24"/>
        </w:rPr>
        <w:t>清华北大知名教授、</w:t>
      </w:r>
      <w:r>
        <w:rPr>
          <w:rFonts w:ascii="微软雅黑" w:hAnsi="微软雅黑" w:eastAsia="微软雅黑" w:cs="微软雅黑"/>
          <w:kern w:val="0"/>
          <w:sz w:val="24"/>
          <w:szCs w:val="24"/>
        </w:rPr>
        <w:t>国内外著名学者</w:t>
      </w:r>
      <w:r>
        <w:rPr>
          <w:rFonts w:hint="eastAsia" w:ascii="微软雅黑" w:hAnsi="微软雅黑" w:eastAsia="微软雅黑" w:cs="微软雅黑"/>
          <w:kern w:val="0"/>
          <w:sz w:val="24"/>
          <w:szCs w:val="24"/>
        </w:rPr>
        <w:t>及知名企业的董事长、CEO。</w:t>
      </w:r>
    </w:p>
    <w:p>
      <w:pPr>
        <w:spacing w:line="560" w:lineRule="exact"/>
        <w:rPr>
          <w:rFonts w:ascii="微软雅黑" w:hAnsi="微软雅黑" w:eastAsia="微软雅黑" w:cs="微软雅黑"/>
          <w:kern w:val="0"/>
          <w:sz w:val="24"/>
          <w:szCs w:val="24"/>
        </w:rPr>
      </w:pPr>
      <w:r>
        <w:rPr>
          <w:rFonts w:hint="eastAsia" w:ascii="微软雅黑" w:hAnsi="微软雅黑" w:eastAsia="微软雅黑" w:cs="微软雅黑"/>
          <w:b/>
          <w:kern w:val="0"/>
          <w:sz w:val="24"/>
          <w:szCs w:val="24"/>
        </w:rPr>
        <w:t>2.教学内容丰富、形式多样</w:t>
      </w:r>
    </w:p>
    <w:p>
      <w:pPr>
        <w:spacing w:line="56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课程涵盖企业战略管理、人力资源管理、市场营销、财务、大数据、人工智能等内容，结合现场教学、小组讨论、实战演练、企业参访、海外游学、沙龙、论坛、私董会等多种形式传道授业解惑</w:t>
      </w:r>
      <w:r>
        <w:rPr>
          <w:rFonts w:ascii="微软雅黑" w:hAnsi="微软雅黑" w:eastAsia="微软雅黑" w:cs="微软雅黑"/>
          <w:kern w:val="0"/>
          <w:sz w:val="24"/>
          <w:szCs w:val="24"/>
        </w:rPr>
        <w:t>。</w:t>
      </w:r>
    </w:p>
    <w:p>
      <w:pPr>
        <w:spacing w:line="560" w:lineRule="exact"/>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3.提高核心竞争力，赢得竞争主导权</w:t>
      </w:r>
    </w:p>
    <w:p>
      <w:pPr>
        <w:spacing w:line="56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课程注重管理者的素质和能力开发，包括决策能力、公关能力、咨询诊断能力、组织指挥能力、涉外经营能力等，从顶层设计到团队执行层层推进。</w:t>
      </w:r>
    </w:p>
    <w:p>
      <w:pPr>
        <w:spacing w:line="560" w:lineRule="exact"/>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4. 无缝对接，落地为本，共享商业生态</w:t>
      </w:r>
    </w:p>
    <w:p>
      <w:pPr>
        <w:spacing w:line="56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整合强大的师资资源与企业家校友资源，本着以企业发展实用为本的原则，确保学以致用。顶级专家团队长期作为导师，陪伴式学习，助力企业发展，彻底解决只有理论没有落地的行业痛点。</w:t>
      </w:r>
    </w:p>
    <w:p>
      <w:pPr>
        <w:pStyle w:val="20"/>
        <w:numPr>
          <w:ilvl w:val="0"/>
          <w:numId w:val="1"/>
        </w:numPr>
        <w:spacing w:before="312" w:beforeLines="100" w:after="156" w:afterLines="50" w:line="600" w:lineRule="exact"/>
        <w:ind w:left="0" w:hanging="425"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课程对象</w:t>
      </w:r>
    </w:p>
    <w:p>
      <w:pPr>
        <w:pStyle w:val="19"/>
        <w:numPr>
          <w:ilvl w:val="0"/>
          <w:numId w:val="10"/>
        </w:numPr>
        <w:spacing w:line="440" w:lineRule="exact"/>
        <w:ind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希望全面更新管理思维的企业家</w:t>
      </w:r>
    </w:p>
    <w:p>
      <w:pPr>
        <w:pStyle w:val="19"/>
        <w:numPr>
          <w:ilvl w:val="0"/>
          <w:numId w:val="10"/>
        </w:numPr>
        <w:spacing w:line="440" w:lineRule="exact"/>
        <w:ind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力争在各种激烈竞争环境下领先的企业家及创始人</w:t>
      </w:r>
    </w:p>
    <w:p>
      <w:pPr>
        <w:pStyle w:val="19"/>
        <w:numPr>
          <w:ilvl w:val="0"/>
          <w:numId w:val="10"/>
        </w:numPr>
        <w:spacing w:line="440" w:lineRule="exact"/>
        <w:ind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致力于实现企业资本价值的企业家</w:t>
      </w:r>
    </w:p>
    <w:p>
      <w:pPr>
        <w:pStyle w:val="19"/>
        <w:numPr>
          <w:ilvl w:val="0"/>
          <w:numId w:val="10"/>
        </w:numPr>
        <w:spacing w:line="440" w:lineRule="exact"/>
        <w:ind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拟上市企业董事长、总经理、资本运营负责人</w:t>
      </w:r>
    </w:p>
    <w:p>
      <w:pPr>
        <w:pStyle w:val="19"/>
        <w:numPr>
          <w:ilvl w:val="0"/>
          <w:numId w:val="10"/>
        </w:numPr>
        <w:spacing w:line="440" w:lineRule="exact"/>
        <w:ind w:right="-340" w:rightChars="-162" w:firstLineChars="0"/>
        <w:rPr>
          <w:rFonts w:ascii="微软雅黑" w:hAnsi="微软雅黑" w:eastAsia="微软雅黑" w:cs="微软雅黑"/>
          <w:bCs/>
          <w:sz w:val="24"/>
          <w:szCs w:val="28"/>
        </w:rPr>
      </w:pPr>
      <w:r>
        <w:rPr>
          <w:rFonts w:hint="eastAsia" w:ascii="微软雅黑" w:hAnsi="微软雅黑" w:eastAsia="微软雅黑" w:cs="微软雅黑"/>
          <w:bCs/>
          <w:sz w:val="24"/>
          <w:szCs w:val="28"/>
        </w:rPr>
        <w:t>转型投资的企业家</w:t>
      </w:r>
    </w:p>
    <w:p>
      <w:pPr>
        <w:pStyle w:val="19"/>
        <w:spacing w:line="440" w:lineRule="exact"/>
        <w:ind w:left="420" w:right="-340" w:rightChars="-162" w:firstLine="0" w:firstLineChars="0"/>
        <w:rPr>
          <w:rFonts w:hint="eastAsia" w:ascii="微软雅黑" w:hAnsi="微软雅黑" w:eastAsia="微软雅黑" w:cs="微软雅黑"/>
          <w:bCs/>
          <w:sz w:val="24"/>
          <w:szCs w:val="28"/>
        </w:rPr>
      </w:pPr>
    </w:p>
    <w:p>
      <w:pPr>
        <w:pStyle w:val="20"/>
        <w:numPr>
          <w:ilvl w:val="0"/>
          <w:numId w:val="1"/>
        </w:numPr>
        <w:spacing w:before="312" w:beforeLines="100" w:after="156" w:afterLines="50" w:line="600" w:lineRule="exact"/>
        <w:ind w:left="0" w:hanging="425"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color w:val="C00000"/>
          <w:sz w:val="40"/>
          <w:szCs w:val="28"/>
          <w:shd w:val="clear" w:color="auto" w:fill="FFFFFF"/>
        </w:rPr>
        <w:t>课程流程</w:t>
      </w:r>
    </w:p>
    <w:p>
      <w:pPr>
        <w:spacing w:line="52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申请-初审-录取-授课-结业-复训</w:t>
      </w:r>
    </w:p>
    <w:p>
      <w:pPr>
        <w:spacing w:line="52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学习费用：6.8万元/人清华校友（ 4.8万元/人）含学费/教材/学习用具，食宿自理。</w:t>
      </w:r>
    </w:p>
    <w:p>
      <w:pPr>
        <w:spacing w:line="52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学制安排：一年半，每两月集中一个周末学习三天</w:t>
      </w:r>
    </w:p>
    <w:p>
      <w:pPr>
        <w:spacing w:line="520" w:lineRule="exact"/>
        <w:rPr>
          <w:rFonts w:ascii="微软雅黑" w:hAnsi="微软雅黑" w:eastAsia="微软雅黑" w:cs="微软雅黑"/>
          <w:b/>
          <w:kern w:val="0"/>
          <w:sz w:val="24"/>
          <w:szCs w:val="24"/>
        </w:rPr>
      </w:pPr>
      <w:r>
        <w:rPr>
          <w:rFonts w:hint="eastAsia" w:ascii="微软雅黑" w:hAnsi="微软雅黑" w:eastAsia="微软雅黑" w:cs="微软雅黑"/>
          <w:b/>
          <w:kern w:val="0"/>
          <w:sz w:val="24"/>
          <w:szCs w:val="24"/>
        </w:rPr>
        <w:t>终身相习：与各界精英共谋成长之道</w:t>
      </w:r>
    </w:p>
    <w:p>
      <w:pPr>
        <w:spacing w:line="520" w:lineRule="exact"/>
        <w:rPr>
          <w:rFonts w:ascii="微软雅黑" w:hAnsi="微软雅黑" w:eastAsia="微软雅黑" w:cs="微软雅黑"/>
          <w:b/>
          <w:kern w:val="0"/>
          <w:sz w:val="24"/>
          <w:szCs w:val="24"/>
        </w:rPr>
      </w:pPr>
    </w:p>
    <w:p>
      <w:pPr>
        <w:pStyle w:val="20"/>
        <w:numPr>
          <w:ilvl w:val="0"/>
          <w:numId w:val="1"/>
        </w:numPr>
        <w:spacing w:before="312" w:beforeLines="100" w:after="156" w:afterLines="50" w:line="600" w:lineRule="exact"/>
        <w:ind w:left="0" w:hanging="425"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报到时间向校方提交以下材料</w:t>
      </w:r>
    </w:p>
    <w:p>
      <w:pPr>
        <w:rPr>
          <w:rFonts w:ascii="微软雅黑" w:hAnsi="微软雅黑" w:eastAsia="微软雅黑" w:cs="微软雅黑"/>
          <w:sz w:val="24"/>
          <w:szCs w:val="24"/>
        </w:rPr>
      </w:pPr>
      <w:r>
        <w:rPr>
          <w:rFonts w:hint="eastAsia" w:ascii="微软雅黑" w:hAnsi="微软雅黑" w:eastAsia="微软雅黑" w:cs="微软雅黑"/>
          <w:sz w:val="24"/>
          <w:szCs w:val="24"/>
        </w:rPr>
        <w:t xml:space="preserve">◆2张二寸蓝底近照                   ◆清晰的身份证复印件               </w:t>
      </w:r>
    </w:p>
    <w:p>
      <w:pPr>
        <w:rPr>
          <w:rFonts w:ascii="微软雅黑" w:hAnsi="微软雅黑" w:eastAsia="微软雅黑" w:cs="微软雅黑"/>
          <w:sz w:val="24"/>
          <w:szCs w:val="24"/>
        </w:rPr>
      </w:pPr>
      <w:r>
        <w:rPr>
          <w:rFonts w:hint="eastAsia" w:ascii="微软雅黑" w:hAnsi="微软雅黑" w:eastAsia="微软雅黑" w:cs="微软雅黑"/>
          <w:sz w:val="24"/>
          <w:szCs w:val="24"/>
        </w:rPr>
        <w:t>◆报名申请表                         ◆最高学历、学位证书复印件</w:t>
      </w:r>
    </w:p>
    <w:p>
      <w:pPr>
        <w:spacing w:line="520" w:lineRule="exact"/>
        <w:rPr>
          <w:rFonts w:ascii="微软雅黑" w:hAnsi="微软雅黑" w:eastAsia="微软雅黑" w:cs="微软雅黑"/>
          <w:sz w:val="24"/>
          <w:szCs w:val="24"/>
        </w:rPr>
      </w:pPr>
      <w:r>
        <w:rPr>
          <w:rFonts w:hint="eastAsia" w:ascii="微软雅黑" w:hAnsi="微软雅黑" w:eastAsia="微软雅黑" w:cs="微软雅黑"/>
          <w:sz w:val="24"/>
          <w:szCs w:val="24"/>
        </w:rPr>
        <w:t>◆两张名片                           ◆单位简介、营业执照复印件副本</w:t>
      </w:r>
    </w:p>
    <w:p>
      <w:pPr>
        <w:pStyle w:val="20"/>
        <w:numPr>
          <w:ilvl w:val="0"/>
          <w:numId w:val="1"/>
        </w:numPr>
        <w:spacing w:before="312" w:beforeLines="100" w:after="156" w:afterLines="50" w:line="600" w:lineRule="exact"/>
        <w:ind w:left="0" w:hanging="425"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招生办公室</w:t>
      </w:r>
    </w:p>
    <w:p>
      <w:pPr>
        <w:rPr>
          <w:rFonts w:ascii="微软雅黑" w:hAnsi="微软雅黑" w:eastAsia="微软雅黑" w:cs="微软雅黑"/>
          <w:sz w:val="24"/>
          <w:szCs w:val="24"/>
        </w:rPr>
      </w:pPr>
      <w:r>
        <w:rPr>
          <w:rFonts w:hint="eastAsia" w:ascii="微软雅黑" w:hAnsi="微软雅黑" w:eastAsia="微软雅黑" w:cs="微软雅黑"/>
          <w:sz w:val="24"/>
          <w:szCs w:val="24"/>
        </w:rPr>
        <w:t xml:space="preserve">● 联系人： </w:t>
      </w:r>
      <w:r>
        <w:rPr>
          <w:rFonts w:hint="eastAsia" w:ascii="微软雅黑" w:hAnsi="微软雅黑" w:eastAsia="微软雅黑" w:cs="微软雅黑"/>
          <w:sz w:val="24"/>
          <w:szCs w:val="24"/>
          <w:lang w:eastAsia="zh-CN"/>
        </w:rPr>
        <w:t>赵老师</w:t>
      </w:r>
      <w:r>
        <w:rPr>
          <w:rFonts w:hint="eastAsia" w:ascii="微软雅黑" w:hAnsi="微软雅黑" w:eastAsia="微软雅黑" w:cs="微软雅黑"/>
          <w:sz w:val="24"/>
          <w:szCs w:val="24"/>
          <w:lang w:val="en-US" w:eastAsia="zh-CN"/>
        </w:rPr>
        <w:t xml:space="preserve"> 15911037933（微信同号）</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 xml:space="preserve"> </w:t>
      </w:r>
    </w:p>
    <w:p>
      <w:pPr>
        <w:rPr>
          <w:rFonts w:ascii="微软雅黑" w:hAnsi="微软雅黑" w:eastAsia="微软雅黑" w:cs="微软雅黑"/>
          <w:sz w:val="24"/>
          <w:szCs w:val="24"/>
        </w:rPr>
      </w:pPr>
      <w:r>
        <w:rPr>
          <w:rFonts w:hint="eastAsia" w:ascii="微软雅黑" w:hAnsi="微软雅黑" w:eastAsia="微软雅黑" w:cs="微软雅黑"/>
          <w:sz w:val="24"/>
          <w:szCs w:val="24"/>
        </w:rPr>
        <w:t>● 电</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话：</w:t>
      </w:r>
      <w:r>
        <w:rPr>
          <w:rFonts w:hint="eastAsia" w:ascii="微软雅黑" w:hAnsi="微软雅黑" w:eastAsia="微软雅黑" w:cs="微软雅黑"/>
          <w:sz w:val="24"/>
          <w:szCs w:val="24"/>
          <w:lang w:val="en-US" w:eastAsia="zh-CN"/>
        </w:rPr>
        <w:t xml:space="preserve"> 010-60531730</w:t>
      </w:r>
      <w:r>
        <w:rPr>
          <w:rFonts w:hint="eastAsia" w:ascii="微软雅黑" w:hAnsi="微软雅黑" w:eastAsia="微软雅黑" w:cs="微软雅黑"/>
          <w:sz w:val="24"/>
          <w:szCs w:val="24"/>
        </w:rPr>
        <w:t xml:space="preserve">                   </w:t>
      </w:r>
    </w:p>
    <w:p>
      <w:pPr>
        <w:rPr>
          <w:rFonts w:ascii="微软雅黑" w:hAnsi="微软雅黑" w:eastAsia="微软雅黑" w:cs="微软雅黑"/>
          <w:sz w:val="24"/>
          <w:szCs w:val="24"/>
        </w:rPr>
      </w:pPr>
      <w:r>
        <w:rPr>
          <w:rFonts w:hint="eastAsia" w:ascii="微软雅黑" w:hAnsi="微软雅黑" w:eastAsia="微软雅黑" w:cs="微软雅黑"/>
          <w:sz w:val="24"/>
          <w:szCs w:val="24"/>
        </w:rPr>
        <w:t>● 邮  箱：</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val="en-US" w:eastAsia="zh-CN"/>
        </w:rPr>
        <w:fldChar w:fldCharType="begin"/>
      </w:r>
      <w:r>
        <w:rPr>
          <w:rFonts w:hint="eastAsia" w:ascii="微软雅黑" w:hAnsi="微软雅黑" w:eastAsia="微软雅黑" w:cs="微软雅黑"/>
          <w:sz w:val="24"/>
          <w:szCs w:val="24"/>
          <w:lang w:val="en-US" w:eastAsia="zh-CN"/>
        </w:rPr>
        <w:instrText xml:space="preserve"> HYPERLINK "mailto:qinghuadaxueyx@163.com" </w:instrText>
      </w:r>
      <w:r>
        <w:rPr>
          <w:rFonts w:hint="eastAsia" w:ascii="微软雅黑" w:hAnsi="微软雅黑" w:eastAsia="微软雅黑" w:cs="微软雅黑"/>
          <w:sz w:val="24"/>
          <w:szCs w:val="24"/>
          <w:lang w:val="en-US" w:eastAsia="zh-CN"/>
        </w:rPr>
        <w:fldChar w:fldCharType="separate"/>
      </w:r>
      <w:r>
        <w:rPr>
          <w:rStyle w:val="10"/>
          <w:rFonts w:hint="eastAsia" w:ascii="微软雅黑" w:hAnsi="微软雅黑" w:eastAsia="微软雅黑" w:cs="微软雅黑"/>
          <w:sz w:val="24"/>
          <w:szCs w:val="24"/>
          <w:lang w:val="en-US" w:eastAsia="zh-CN"/>
        </w:rPr>
        <w:t>qinghuadaxueyx@163.com</w:t>
      </w:r>
      <w:r>
        <w:rPr>
          <w:rFonts w:hint="eastAsia" w:ascii="微软雅黑" w:hAnsi="微软雅黑" w:eastAsia="微软雅黑" w:cs="微软雅黑"/>
          <w:sz w:val="24"/>
          <w:szCs w:val="24"/>
          <w:lang w:val="en-US" w:eastAsia="zh-CN"/>
        </w:rPr>
        <w:fldChar w:fldCharType="end"/>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val="en-US" w:eastAsia="zh-CN"/>
        </w:rPr>
        <w:fldChar w:fldCharType="begin"/>
      </w:r>
      <w:r>
        <w:rPr>
          <w:rFonts w:hint="eastAsia" w:ascii="微软雅黑" w:hAnsi="微软雅黑" w:eastAsia="微软雅黑" w:cs="微软雅黑"/>
          <w:sz w:val="24"/>
          <w:szCs w:val="24"/>
          <w:lang w:val="en-US" w:eastAsia="zh-CN"/>
        </w:rPr>
        <w:instrText xml:space="preserve"> HYPERLINK "mailto:2889303302@qq.com" </w:instrText>
      </w:r>
      <w:r>
        <w:rPr>
          <w:rFonts w:hint="eastAsia" w:ascii="微软雅黑" w:hAnsi="微软雅黑" w:eastAsia="微软雅黑" w:cs="微软雅黑"/>
          <w:sz w:val="24"/>
          <w:szCs w:val="24"/>
          <w:lang w:val="en-US" w:eastAsia="zh-CN"/>
        </w:rPr>
        <w:fldChar w:fldCharType="separate"/>
      </w:r>
      <w:r>
        <w:rPr>
          <w:rStyle w:val="10"/>
          <w:rFonts w:hint="eastAsia" w:ascii="微软雅黑" w:hAnsi="微软雅黑" w:eastAsia="微软雅黑" w:cs="微软雅黑"/>
          <w:sz w:val="24"/>
          <w:szCs w:val="24"/>
          <w:lang w:val="en-US" w:eastAsia="zh-CN"/>
        </w:rPr>
        <w:t>2889303302@qq.com</w:t>
      </w:r>
      <w:r>
        <w:rPr>
          <w:rFonts w:hint="eastAsia" w:ascii="微软雅黑" w:hAnsi="微软雅黑" w:eastAsia="微软雅黑" w:cs="微软雅黑"/>
          <w:sz w:val="24"/>
          <w:szCs w:val="24"/>
          <w:lang w:val="en-US" w:eastAsia="zh-CN"/>
        </w:rPr>
        <w:fldChar w:fldCharType="end"/>
      </w:r>
      <w:r>
        <w:rPr>
          <w:rFonts w:hint="eastAsia" w:ascii="微软雅黑" w:hAnsi="微软雅黑" w:eastAsia="微软雅黑" w:cs="微软雅黑"/>
          <w:sz w:val="24"/>
          <w:szCs w:val="24"/>
          <w:lang w:val="en-US" w:eastAsia="zh-CN"/>
        </w:rPr>
        <w:t xml:space="preserve">  </w:t>
      </w:r>
    </w:p>
    <w:p>
      <w:pPr>
        <w:pStyle w:val="20"/>
        <w:numPr>
          <w:ilvl w:val="0"/>
          <w:numId w:val="1"/>
        </w:numPr>
        <w:spacing w:before="312" w:beforeLines="100" w:after="156" w:afterLines="50" w:line="600" w:lineRule="exact"/>
        <w:ind w:left="0" w:hanging="425" w:firstLineChars="0"/>
        <w:rPr>
          <w:rFonts w:ascii="微软雅黑" w:hAnsi="微软雅黑" w:eastAsia="微软雅黑" w:cs="微软雅黑"/>
          <w:b/>
          <w:color w:val="C00000"/>
          <w:sz w:val="40"/>
          <w:szCs w:val="28"/>
          <w:shd w:val="clear" w:color="auto" w:fill="FFFFFF"/>
        </w:rPr>
      </w:pPr>
      <w:r>
        <w:rPr>
          <w:rFonts w:ascii="微软雅黑" w:hAnsi="微软雅黑" w:eastAsia="微软雅黑" w:cs="微软雅黑"/>
          <w:b/>
          <w:color w:val="C00000"/>
          <w:sz w:val="40"/>
          <w:szCs w:val="28"/>
          <w:shd w:val="clear" w:color="auto" w:fill="FFFFFF"/>
        </w:rPr>
        <w:t>特别说明</w:t>
      </w:r>
    </w:p>
    <w:p>
      <w:pPr>
        <w:pStyle w:val="7"/>
        <w:spacing w:before="0" w:beforeAutospacing="0" w:after="0" w:afterAutospacing="0" w:line="560" w:lineRule="exact"/>
        <w:ind w:firstLine="480" w:firstLineChars="200"/>
        <w:rPr>
          <w:rFonts w:ascii="微软雅黑" w:hAnsi="微软雅黑" w:eastAsia="微软雅黑" w:cs="微软雅黑"/>
        </w:rPr>
      </w:pPr>
      <w:r>
        <w:rPr>
          <w:rFonts w:hint="eastAsia" w:ascii="微软雅黑" w:hAnsi="微软雅黑" w:eastAsia="微软雅黑" w:cs="微软雅黑"/>
        </w:rPr>
        <w:t>培训费由学员在开班前汇入指定账户，在汇款单“用途”栏里务必填上“新华商（EMBA）总裁班+学员名字”。汇款后请将汇款凭证复印件传至招生办公室。</w:t>
      </w:r>
    </w:p>
    <w:p>
      <w:pPr>
        <w:pStyle w:val="7"/>
        <w:spacing w:before="0" w:beforeAutospacing="0" w:after="0" w:afterAutospacing="0" w:line="560" w:lineRule="exact"/>
        <w:ind w:firstLine="480" w:firstLineChars="200"/>
        <w:rPr>
          <w:rFonts w:ascii="微软雅黑" w:hAnsi="微软雅黑" w:eastAsia="微软雅黑" w:cs="微软雅黑"/>
        </w:rPr>
      </w:pPr>
    </w:p>
    <w:p>
      <w:pPr>
        <w:pStyle w:val="7"/>
        <w:spacing w:before="0" w:beforeAutospacing="0" w:after="0" w:afterAutospacing="0" w:line="560" w:lineRule="exact"/>
        <w:ind w:firstLine="480" w:firstLineChars="200"/>
        <w:rPr>
          <w:rFonts w:hint="eastAsia" w:ascii="微软雅黑" w:hAnsi="微软雅黑" w:eastAsia="微软雅黑" w:cs="微软雅黑"/>
        </w:rPr>
      </w:pPr>
    </w:p>
    <w:p>
      <w:pPr>
        <w:pStyle w:val="20"/>
        <w:numPr>
          <w:ilvl w:val="0"/>
          <w:numId w:val="1"/>
        </w:numPr>
        <w:spacing w:before="312" w:beforeLines="100" w:after="156" w:afterLines="50" w:line="600" w:lineRule="exact"/>
        <w:ind w:left="0" w:hanging="425"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color w:val="C00000"/>
          <w:sz w:val="40"/>
          <w:szCs w:val="28"/>
          <w:shd w:val="clear" w:color="auto" w:fill="FFFFFF"/>
        </w:rPr>
        <w:t>增值服务</w:t>
      </w:r>
    </w:p>
    <w:p>
      <w:pPr>
        <w:pStyle w:val="20"/>
        <w:spacing w:before="312" w:beforeLines="100" w:after="156" w:afterLines="50" w:line="600" w:lineRule="exact"/>
        <w:ind w:left="420" w:firstLine="0" w:firstLineChars="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学习期满颁发清同书院授予的结业证书（网上注册可查询）持有该证书参加清同书院其它课程均可享受九折优惠。</w:t>
      </w:r>
    </w:p>
    <w:p>
      <w:pPr>
        <w:pStyle w:val="7"/>
        <w:spacing w:before="0" w:beforeAutospacing="0" w:after="0" w:afterAutospacing="0" w:line="560" w:lineRule="exact"/>
        <w:ind w:firstLine="480" w:firstLineChars="200"/>
        <w:rPr>
          <w:rFonts w:ascii="微软雅黑" w:hAnsi="微软雅黑" w:eastAsia="微软雅黑" w:cs="微软雅黑"/>
        </w:rPr>
      </w:pPr>
      <w:r>
        <w:rPr>
          <w:rFonts w:hint="eastAsia" w:ascii="微软雅黑" w:hAnsi="微软雅黑" w:eastAsia="微软雅黑" w:cs="微软雅黑"/>
        </w:rPr>
        <w:t>1.凡报名参加新华商总裁班的同学将有机会获得一次华商企业诊断咨询服务。价值：29800元</w:t>
      </w:r>
    </w:p>
    <w:p>
      <w:pPr>
        <w:pStyle w:val="7"/>
        <w:spacing w:before="0" w:beforeAutospacing="0" w:after="0" w:afterAutospacing="0" w:line="560" w:lineRule="exact"/>
        <w:ind w:firstLine="480" w:firstLineChars="200"/>
        <w:rPr>
          <w:rFonts w:ascii="微软雅黑" w:hAnsi="微软雅黑" w:eastAsia="微软雅黑" w:cs="微软雅黑"/>
        </w:rPr>
      </w:pPr>
      <w:r>
        <w:rPr>
          <w:rFonts w:hint="eastAsia" w:ascii="微软雅黑" w:hAnsi="微软雅黑" w:eastAsia="微软雅黑" w:cs="微软雅黑"/>
        </w:rPr>
        <w:t>企业可从以下10个模块选择诊断咨询服务内容：（每个企业最多选择5项）</w:t>
      </w:r>
    </w:p>
    <w:p>
      <w:pPr>
        <w:pStyle w:val="7"/>
        <w:spacing w:before="0" w:beforeAutospacing="0" w:after="0" w:afterAutospacing="0" w:line="560" w:lineRule="exact"/>
        <w:ind w:firstLine="480" w:firstLineChars="200"/>
        <w:rPr>
          <w:rFonts w:ascii="微软雅黑" w:hAnsi="微软雅黑" w:eastAsia="微软雅黑" w:cs="微软雅黑"/>
        </w:rPr>
      </w:pPr>
      <w:r>
        <w:rPr>
          <w:rFonts w:hint="eastAsia" w:ascii="微软雅黑" w:hAnsi="微软雅黑" w:eastAsia="微软雅黑" w:cs="微软雅黑"/>
        </w:rPr>
        <w:t xml:space="preserve">□ 战略定位    □ 商业模式 □ 资本运作    □ 产品定位 </w:t>
      </w:r>
      <w:r>
        <w:rPr>
          <w:rFonts w:ascii="微软雅黑" w:hAnsi="微软雅黑" w:eastAsia="微软雅黑" w:cs="微软雅黑"/>
        </w:rPr>
        <w:t xml:space="preserve"> </w:t>
      </w:r>
      <w:r>
        <w:rPr>
          <w:rFonts w:hint="eastAsia" w:ascii="微软雅黑" w:hAnsi="微软雅黑" w:eastAsia="微软雅黑" w:cs="微软雅黑"/>
        </w:rPr>
        <w:t>□ 股权结构  </w:t>
      </w:r>
    </w:p>
    <w:p>
      <w:pPr>
        <w:pStyle w:val="7"/>
        <w:spacing w:before="0" w:beforeAutospacing="0" w:after="0" w:afterAutospacing="0" w:line="560" w:lineRule="exact"/>
        <w:ind w:firstLine="480" w:firstLineChars="200"/>
        <w:rPr>
          <w:rFonts w:ascii="微软雅黑" w:hAnsi="微软雅黑" w:eastAsia="微软雅黑" w:cs="微软雅黑"/>
        </w:rPr>
      </w:pPr>
      <w:r>
        <w:rPr>
          <w:rFonts w:hint="eastAsia" w:ascii="微软雅黑" w:hAnsi="微软雅黑" w:eastAsia="微软雅黑" w:cs="微软雅黑"/>
        </w:rPr>
        <w:t xml:space="preserve">□ 品牌定位    □ 市场营销 □ 管理模式    □ 企业文化 </w:t>
      </w:r>
      <w:r>
        <w:rPr>
          <w:rFonts w:ascii="微软雅黑" w:hAnsi="微软雅黑" w:eastAsia="微软雅黑" w:cs="微软雅黑"/>
        </w:rPr>
        <w:t xml:space="preserve"> </w:t>
      </w:r>
      <w:r>
        <w:rPr>
          <w:rFonts w:hint="eastAsia" w:ascii="微软雅黑" w:hAnsi="微软雅黑" w:eastAsia="微软雅黑" w:cs="微软雅黑"/>
        </w:rPr>
        <w:t>□ 团队建设</w:t>
      </w:r>
    </w:p>
    <w:p>
      <w:pPr>
        <w:pStyle w:val="7"/>
        <w:spacing w:before="0" w:beforeAutospacing="0" w:after="0" w:afterAutospacing="0" w:line="560" w:lineRule="exact"/>
        <w:ind w:firstLine="480" w:firstLineChars="200"/>
        <w:rPr>
          <w:rFonts w:hint="eastAsia" w:ascii="微软雅黑" w:hAnsi="微软雅黑" w:eastAsia="微软雅黑" w:cs="微软雅黑"/>
        </w:rPr>
      </w:pPr>
      <w:r>
        <w:rPr>
          <w:rFonts w:hint="eastAsia" w:ascii="微软雅黑" w:hAnsi="微软雅黑" w:eastAsia="微软雅黑" w:cs="微软雅黑"/>
        </w:rPr>
        <w:t>2.诊断有效期：自报名日起三个月内。</w:t>
      </w:r>
    </w:p>
    <w:p>
      <w:pPr>
        <w:pStyle w:val="20"/>
        <w:numPr>
          <w:ilvl w:val="0"/>
          <w:numId w:val="1"/>
        </w:numPr>
        <w:spacing w:before="312" w:beforeLines="100" w:after="156" w:afterLines="50" w:line="600" w:lineRule="exact"/>
        <w:ind w:left="0" w:hanging="425" w:firstLineChars="0"/>
        <w:rPr>
          <w:rFonts w:ascii="微软雅黑" w:hAnsi="微软雅黑" w:eastAsia="微软雅黑" w:cs="微软雅黑"/>
          <w:b/>
          <w:color w:val="C00000"/>
          <w:sz w:val="40"/>
          <w:szCs w:val="28"/>
          <w:shd w:val="clear" w:color="auto" w:fill="FFFFFF"/>
        </w:rPr>
      </w:pPr>
      <w:r>
        <w:rPr>
          <w:rFonts w:hint="eastAsia" w:ascii="微软雅黑" w:hAnsi="微软雅黑" w:eastAsia="微软雅黑" w:cs="微软雅黑"/>
          <w:b/>
          <w:color w:val="C00000"/>
          <w:sz w:val="40"/>
          <w:szCs w:val="28"/>
          <w:shd w:val="clear" w:color="auto" w:fill="FFFFFF"/>
        </w:rPr>
        <w:t>部分</w:t>
      </w:r>
      <w:r>
        <w:rPr>
          <w:rFonts w:ascii="微软雅黑" w:hAnsi="微软雅黑" w:eastAsia="微软雅黑" w:cs="微软雅黑"/>
          <w:b/>
          <w:color w:val="C00000"/>
          <w:sz w:val="40"/>
          <w:szCs w:val="28"/>
          <w:shd w:val="clear" w:color="auto" w:fill="FFFFFF"/>
        </w:rPr>
        <w:t>拟邀师资</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史  炜</w:t>
      </w:r>
      <w:r>
        <w:rPr>
          <w:rFonts w:hint="eastAsia" w:ascii="微软雅黑" w:hAnsi="微软雅黑" w:eastAsia="微软雅黑"/>
          <w:kern w:val="2"/>
          <w:szCs w:val="22"/>
        </w:rPr>
        <w:t>   国家发改委经济体制与管理研究所研究员，产业研究室主任</w:t>
      </w:r>
      <w:r>
        <w:rPr>
          <w:rFonts w:hint="eastAsia" w:ascii="微软雅黑" w:hAnsi="微软雅黑" w:eastAsia="微软雅黑"/>
          <w:kern w:val="2"/>
          <w:szCs w:val="22"/>
        </w:rPr>
        <w:cr/>
      </w:r>
      <w:r>
        <w:rPr>
          <w:rFonts w:hint="eastAsia" w:ascii="微软雅黑" w:hAnsi="微软雅黑" w:eastAsia="微软雅黑"/>
          <w:b/>
          <w:kern w:val="2"/>
          <w:sz w:val="28"/>
          <w:szCs w:val="22"/>
        </w:rPr>
        <w:t>王一鸣</w:t>
      </w:r>
      <w:r>
        <w:rPr>
          <w:rFonts w:hint="eastAsia" w:ascii="微软雅黑" w:hAnsi="微软雅黑" w:eastAsia="微软雅黑"/>
          <w:kern w:val="2"/>
          <w:szCs w:val="22"/>
        </w:rPr>
        <w:t xml:space="preserve">   </w:t>
      </w:r>
      <w:r>
        <w:rPr>
          <w:rFonts w:ascii="微软雅黑" w:hAnsi="微软雅黑" w:eastAsia="微软雅黑"/>
          <w:kern w:val="2"/>
          <w:szCs w:val="22"/>
        </w:rPr>
        <w:t>国务院</w:t>
      </w:r>
      <w:r>
        <w:rPr>
          <w:rFonts w:hint="eastAsia" w:ascii="微软雅黑" w:hAnsi="微软雅黑" w:eastAsia="微软雅黑"/>
          <w:kern w:val="2"/>
          <w:szCs w:val="22"/>
        </w:rPr>
        <w:t>国务院</w:t>
      </w:r>
      <w:r>
        <w:rPr>
          <w:rFonts w:ascii="微软雅黑" w:hAnsi="微软雅黑" w:eastAsia="微软雅黑"/>
          <w:kern w:val="2"/>
          <w:szCs w:val="22"/>
        </w:rPr>
        <w:t>发展研究中心副秘书长</w:t>
      </w:r>
      <w:r>
        <w:rPr>
          <w:rFonts w:hint="eastAsia" w:ascii="微软雅黑" w:hAnsi="微软雅黑" w:eastAsia="微软雅黑"/>
          <w:kern w:val="2"/>
          <w:szCs w:val="22"/>
        </w:rPr>
        <w:t xml:space="preserve">   著名经济学家</w:t>
      </w:r>
      <w:r>
        <w:rPr>
          <w:rFonts w:hint="eastAsia" w:ascii="微软雅黑" w:hAnsi="微软雅黑" w:eastAsia="微软雅黑"/>
          <w:kern w:val="2"/>
          <w:szCs w:val="22"/>
        </w:rPr>
        <w:cr/>
      </w:r>
      <w:r>
        <w:rPr>
          <w:rFonts w:hint="eastAsia" w:ascii="微软雅黑" w:hAnsi="微软雅黑" w:eastAsia="微软雅黑"/>
          <w:b/>
          <w:kern w:val="2"/>
          <w:sz w:val="28"/>
          <w:szCs w:val="22"/>
        </w:rPr>
        <w:t xml:space="preserve">万  力  </w:t>
      </w:r>
      <w:r>
        <w:rPr>
          <w:rFonts w:hint="eastAsia" w:ascii="微软雅黑" w:hAnsi="微软雅黑" w:eastAsia="微软雅黑"/>
          <w:kern w:val="2"/>
          <w:szCs w:val="22"/>
        </w:rPr>
        <w:t>中国新商业联盟主席，中关村科技企业促进会会长</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朱武祥</w:t>
      </w:r>
      <w:r>
        <w:rPr>
          <w:rFonts w:hint="eastAsia" w:ascii="微软雅黑" w:hAnsi="微软雅黑" w:eastAsia="微软雅黑"/>
          <w:kern w:val="2"/>
          <w:szCs w:val="22"/>
        </w:rPr>
        <w:t>   清华大学经管学院教授</w:t>
      </w:r>
      <w:r>
        <w:rPr>
          <w:rFonts w:hint="eastAsia" w:ascii="微软雅黑" w:hAnsi="微软雅黑" w:eastAsia="微软雅黑"/>
          <w:kern w:val="2"/>
          <w:szCs w:val="22"/>
        </w:rPr>
        <w:cr/>
      </w:r>
      <w:r>
        <w:rPr>
          <w:rFonts w:hint="eastAsia" w:ascii="微软雅黑" w:hAnsi="微软雅黑" w:eastAsia="微软雅黑"/>
          <w:b/>
          <w:kern w:val="2"/>
          <w:sz w:val="28"/>
          <w:szCs w:val="22"/>
        </w:rPr>
        <w:t xml:space="preserve">欧阳良宜 </w:t>
      </w:r>
      <w:r>
        <w:rPr>
          <w:rFonts w:hint="eastAsia" w:ascii="微软雅黑" w:hAnsi="微软雅黑" w:eastAsia="微软雅黑"/>
          <w:kern w:val="2"/>
          <w:szCs w:val="22"/>
        </w:rPr>
        <w:t>北大汇丰商学院副教授、</w:t>
      </w:r>
      <w:r>
        <w:rPr>
          <w:rFonts w:ascii="微软雅黑" w:hAnsi="微软雅黑" w:eastAsia="微软雅黑"/>
          <w:kern w:val="2"/>
          <w:szCs w:val="22"/>
        </w:rPr>
        <w:t>特许金融分析师</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李  磊</w:t>
      </w:r>
      <w:r>
        <w:rPr>
          <w:rFonts w:hint="eastAsia" w:ascii="微软雅黑" w:hAnsi="微软雅黑" w:eastAsia="微软雅黑"/>
          <w:kern w:val="2"/>
          <w:szCs w:val="22"/>
        </w:rPr>
        <w:t>    华夏润石投资总裁兼合伙人</w:t>
      </w:r>
      <w:r>
        <w:rPr>
          <w:rFonts w:hint="eastAsia" w:ascii="微软雅黑" w:hAnsi="微软雅黑" w:eastAsia="微软雅黑"/>
          <w:kern w:val="2"/>
          <w:szCs w:val="22"/>
        </w:rPr>
        <w:cr/>
      </w:r>
      <w:r>
        <w:rPr>
          <w:rFonts w:hint="eastAsia" w:ascii="微软雅黑" w:hAnsi="微软雅黑" w:eastAsia="微软雅黑"/>
          <w:b/>
          <w:kern w:val="2"/>
          <w:sz w:val="28"/>
          <w:szCs w:val="22"/>
        </w:rPr>
        <w:t>黄  嵩 </w:t>
      </w:r>
      <w:r>
        <w:rPr>
          <w:rFonts w:hint="eastAsia" w:ascii="微软雅黑" w:hAnsi="微软雅黑" w:eastAsia="微软雅黑"/>
          <w:kern w:val="2"/>
          <w:szCs w:val="22"/>
        </w:rPr>
        <w:t>   北大金融与产业发展研究中心 秘书长</w:t>
      </w:r>
      <w:r>
        <w:rPr>
          <w:rFonts w:hint="eastAsia" w:ascii="微软雅黑" w:hAnsi="微软雅黑" w:eastAsia="微软雅黑"/>
          <w:kern w:val="2"/>
          <w:szCs w:val="22"/>
        </w:rPr>
        <w:cr/>
      </w:r>
      <w:r>
        <w:rPr>
          <w:rFonts w:hint="eastAsia" w:ascii="微软雅黑" w:hAnsi="微软雅黑" w:eastAsia="微软雅黑"/>
          <w:b/>
          <w:kern w:val="2"/>
          <w:sz w:val="28"/>
          <w:szCs w:val="22"/>
        </w:rPr>
        <w:t>周  立</w:t>
      </w:r>
      <w:r>
        <w:rPr>
          <w:rFonts w:hint="eastAsia" w:ascii="微软雅黑" w:hAnsi="微软雅黑" w:eastAsia="微软雅黑"/>
          <w:kern w:val="2"/>
          <w:szCs w:val="22"/>
        </w:rPr>
        <w:t>    清华大学经济管理学院会计系教授、</w:t>
      </w:r>
      <w:r>
        <w:rPr>
          <w:rFonts w:ascii="微软雅黑" w:hAnsi="微软雅黑" w:eastAsia="微软雅黑"/>
          <w:kern w:val="2"/>
          <w:szCs w:val="22"/>
        </w:rPr>
        <w:t> </w:t>
      </w:r>
      <w:r>
        <w:fldChar w:fldCharType="begin"/>
      </w:r>
      <w:r>
        <w:instrText xml:space="preserve"> HYPERLINK "https://baike.baidu.com/item/%E7%AE%A1%E7%90%86%E7%A7%91%E5%AD%A6%E4%B8%8E%E5%B7%A5%E7%A8%8B" \t "_blank" </w:instrText>
      </w:r>
      <w:r>
        <w:fldChar w:fldCharType="separate"/>
      </w:r>
      <w:r>
        <w:rPr>
          <w:rFonts w:ascii="微软雅黑" w:hAnsi="微软雅黑" w:eastAsia="微软雅黑"/>
          <w:kern w:val="2"/>
          <w:szCs w:val="22"/>
        </w:rPr>
        <w:t>管理科学与工程</w:t>
      </w:r>
      <w:r>
        <w:rPr>
          <w:rFonts w:ascii="微软雅黑" w:hAnsi="微软雅黑" w:eastAsia="微软雅黑"/>
          <w:kern w:val="2"/>
          <w:szCs w:val="22"/>
        </w:rPr>
        <w:fldChar w:fldCharType="end"/>
      </w:r>
      <w:r>
        <w:rPr>
          <w:rFonts w:ascii="微软雅黑" w:hAnsi="微软雅黑" w:eastAsia="微软雅黑"/>
          <w:kern w:val="2"/>
          <w:szCs w:val="22"/>
        </w:rPr>
        <w:t>博士后</w:t>
      </w:r>
    </w:p>
    <w:p>
      <w:pPr>
        <w:pStyle w:val="7"/>
        <w:spacing w:before="0" w:beforeAutospacing="0" w:after="0" w:afterAutospacing="0" w:line="510" w:lineRule="exact"/>
        <w:rPr>
          <w:rFonts w:ascii="微软雅黑" w:hAnsi="微软雅黑" w:eastAsia="微软雅黑"/>
          <w:kern w:val="2"/>
          <w:szCs w:val="22"/>
        </w:rPr>
      </w:pPr>
      <w:r>
        <w:rPr>
          <w:rFonts w:hint="eastAsia" w:ascii="微软雅黑" w:hAnsi="微软雅黑" w:eastAsia="微软雅黑"/>
          <w:b/>
          <w:kern w:val="2"/>
          <w:sz w:val="28"/>
          <w:szCs w:val="22"/>
        </w:rPr>
        <w:t>金占明</w:t>
      </w:r>
      <w:r>
        <w:rPr>
          <w:rFonts w:hint="eastAsia" w:ascii="微软雅黑" w:hAnsi="微软雅黑" w:eastAsia="微软雅黑"/>
          <w:kern w:val="2"/>
          <w:szCs w:val="22"/>
        </w:rPr>
        <w:t>    清华大学经济管理学院教授、博士后</w:t>
      </w:r>
      <w:r>
        <w:rPr>
          <w:rFonts w:hint="eastAsia" w:ascii="微软雅黑" w:hAnsi="微软雅黑" w:eastAsia="微软雅黑"/>
          <w:kern w:val="2"/>
          <w:szCs w:val="22"/>
        </w:rPr>
        <w:cr/>
      </w:r>
      <w:r>
        <w:rPr>
          <w:rFonts w:hint="eastAsia" w:ascii="微软雅黑" w:hAnsi="微软雅黑" w:eastAsia="微软雅黑"/>
          <w:b/>
          <w:kern w:val="2"/>
          <w:sz w:val="28"/>
          <w:szCs w:val="22"/>
        </w:rPr>
        <w:t>宋洪祥</w:t>
      </w:r>
      <w:r>
        <w:rPr>
          <w:rFonts w:hint="eastAsia" w:ascii="微软雅黑" w:hAnsi="微软雅黑" w:eastAsia="微软雅黑"/>
          <w:kern w:val="2"/>
          <w:szCs w:val="22"/>
        </w:rPr>
        <w:t>    </w:t>
      </w:r>
      <w:r>
        <w:rPr>
          <w:rFonts w:ascii="微软雅黑" w:hAnsi="微软雅黑" w:eastAsia="微软雅黑"/>
          <w:kern w:val="2"/>
          <w:szCs w:val="22"/>
        </w:rPr>
        <w:t>我国著名税务专家，“亚太国际税收教育研究会”副会长。</w:t>
      </w:r>
    </w:p>
    <w:p>
      <w:pPr>
        <w:pStyle w:val="7"/>
        <w:spacing w:before="0" w:beforeAutospacing="0" w:after="0" w:afterAutospacing="0" w:line="510" w:lineRule="exact"/>
        <w:rPr>
          <w:rFonts w:hint="eastAsia" w:ascii="微软雅黑" w:hAnsi="微软雅黑" w:eastAsia="微软雅黑" w:cs="Times New Roman"/>
          <w:kern w:val="2"/>
        </w:rPr>
      </w:pPr>
      <w:r>
        <w:rPr>
          <w:rFonts w:hint="eastAsia" w:ascii="微软雅黑" w:hAnsi="微软雅黑" w:eastAsia="微软雅黑"/>
          <w:b/>
          <w:kern w:val="2"/>
          <w:sz w:val="28"/>
          <w:szCs w:val="22"/>
        </w:rPr>
        <w:t xml:space="preserve">程  京 </w:t>
      </w:r>
      <w:r>
        <w:rPr>
          <w:rFonts w:hint="eastAsia" w:ascii="微软雅黑" w:hAnsi="微软雅黑" w:eastAsia="微软雅黑"/>
          <w:b/>
          <w:kern w:val="2"/>
          <w:sz w:val="22"/>
          <w:szCs w:val="22"/>
        </w:rPr>
        <w:t xml:space="preserve"> </w:t>
      </w:r>
      <w:r>
        <w:rPr>
          <w:rFonts w:hint="eastAsia" w:ascii="微软雅黑" w:hAnsi="微软雅黑" w:eastAsia="微软雅黑"/>
          <w:kern w:val="2"/>
          <w:szCs w:val="22"/>
        </w:rPr>
        <w:t xml:space="preserve">中国工程院院士、清华大学医学院生物医学工程系教授 </w:t>
      </w:r>
      <w:r>
        <w:rPr>
          <w:rFonts w:hint="eastAsia" w:ascii="微软雅黑" w:hAnsi="微软雅黑" w:eastAsia="微软雅黑"/>
          <w:kern w:val="2"/>
          <w:szCs w:val="22"/>
        </w:rPr>
        <w:cr/>
      </w:r>
      <w:r>
        <w:rPr>
          <w:rFonts w:hint="eastAsia" w:ascii="微软雅黑" w:hAnsi="微软雅黑" w:eastAsia="微软雅黑"/>
          <w:b/>
          <w:kern w:val="2"/>
          <w:sz w:val="28"/>
          <w:szCs w:val="22"/>
        </w:rPr>
        <w:t xml:space="preserve">李振勇 </w:t>
      </w:r>
      <w:r>
        <w:rPr>
          <w:rFonts w:hint="eastAsia" w:ascii="微软雅黑" w:hAnsi="微软雅黑" w:eastAsia="微软雅黑"/>
          <w:kern w:val="2"/>
          <w:szCs w:val="22"/>
        </w:rPr>
        <w:t xml:space="preserve"> 博士、创新商业模式专家</w:t>
      </w:r>
      <w:r>
        <w:rPr>
          <w:rFonts w:hint="eastAsia" w:ascii="微软雅黑" w:hAnsi="微软雅黑" w:eastAsia="微软雅黑"/>
          <w:kern w:val="2"/>
          <w:szCs w:val="22"/>
        </w:rPr>
        <w:cr/>
      </w:r>
      <w:r>
        <w:rPr>
          <w:rFonts w:ascii="微软雅黑" w:hAnsi="微软雅黑" w:eastAsia="微软雅黑" w:cs="Times New Roman"/>
          <w:kern w:val="2"/>
        </w:rPr>
        <w:t xml:space="preserve"> </w:t>
      </w:r>
    </w:p>
    <w:p>
      <w:pPr>
        <w:pStyle w:val="7"/>
        <w:spacing w:before="0" w:beforeAutospacing="0" w:after="0" w:afterAutospacing="0" w:line="270" w:lineRule="atLeast"/>
        <w:ind w:firstLine="1761" w:firstLineChars="400"/>
        <w:rPr>
          <w:rFonts w:ascii="微软雅黑" w:hAnsi="微软雅黑" w:eastAsia="微软雅黑"/>
          <w:b/>
          <w:color w:val="C00000"/>
          <w:sz w:val="44"/>
          <w:szCs w:val="28"/>
        </w:rPr>
      </w:pPr>
      <w:r>
        <w:rPr>
          <w:rFonts w:hint="eastAsia" w:ascii="微软雅黑" w:hAnsi="微软雅黑" w:eastAsia="微软雅黑"/>
          <w:b/>
          <w:color w:val="C00000"/>
          <w:sz w:val="44"/>
          <w:szCs w:val="28"/>
        </w:rPr>
        <w:t>新华商(EMBA)总裁班</w:t>
      </w:r>
    </w:p>
    <w:tbl>
      <w:tblPr>
        <w:tblStyle w:val="12"/>
        <w:tblpPr w:leftFromText="180" w:rightFromText="180" w:vertAnchor="page" w:horzAnchor="margin" w:tblpXSpec="center" w:tblpY="2761"/>
        <w:tblW w:w="947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2151"/>
        <w:gridCol w:w="1469"/>
        <w:gridCol w:w="1003"/>
        <w:gridCol w:w="290"/>
        <w:gridCol w:w="251"/>
        <w:gridCol w:w="572"/>
        <w:gridCol w:w="324"/>
        <w:gridCol w:w="574"/>
        <w:gridCol w:w="14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trPr>
        <w:tc>
          <w:tcPr>
            <w:tcW w:w="9472" w:type="dxa"/>
            <w:gridSpan w:val="10"/>
            <w:tcBorders>
              <w:top w:val="nil"/>
              <w:left w:val="nil"/>
              <w:bottom w:val="double" w:color="auto" w:sz="4" w:space="0"/>
              <w:right w:val="nil"/>
            </w:tcBorders>
            <w:vAlign w:val="center"/>
          </w:tcPr>
          <w:p>
            <w:pPr>
              <w:widowControl/>
              <w:jc w:val="left"/>
              <w:rPr>
                <w:b/>
              </w:rPr>
            </w:pPr>
            <w:r>
              <w:rPr>
                <w:rFonts w:hint="eastAsia" w:ascii="黑体" w:hAnsi="黑体" w:eastAsia="黑体"/>
                <w:b/>
                <w:color w:val="C00000"/>
                <w:sz w:val="24"/>
              </w:rPr>
              <w:t>个人信息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400" w:type="dxa"/>
            <w:tcBorders>
              <w:top w:val="double" w:color="auto" w:sz="4" w:space="0"/>
              <w:bottom w:val="single" w:color="auto" w:sz="6" w:space="0"/>
            </w:tcBorders>
            <w:vAlign w:val="center"/>
          </w:tcPr>
          <w:p>
            <w:pPr>
              <w:spacing w:line="276" w:lineRule="auto"/>
              <w:jc w:val="center"/>
              <w:rPr>
                <w:b/>
              </w:rPr>
            </w:pPr>
            <w:r>
              <w:rPr>
                <w:rFonts w:hint="eastAsia"/>
                <w:b/>
              </w:rPr>
              <w:t>姓    名</w:t>
            </w:r>
          </w:p>
        </w:tc>
        <w:tc>
          <w:tcPr>
            <w:tcW w:w="2151" w:type="dxa"/>
            <w:tcBorders>
              <w:top w:val="double" w:color="auto" w:sz="4" w:space="0"/>
              <w:bottom w:val="single" w:color="auto" w:sz="6" w:space="0"/>
            </w:tcBorders>
            <w:vAlign w:val="center"/>
          </w:tcPr>
          <w:p>
            <w:pPr>
              <w:spacing w:line="276" w:lineRule="auto"/>
              <w:jc w:val="center"/>
              <w:rPr>
                <w:b/>
              </w:rPr>
            </w:pPr>
          </w:p>
        </w:tc>
        <w:tc>
          <w:tcPr>
            <w:tcW w:w="1469" w:type="dxa"/>
            <w:tcBorders>
              <w:top w:val="double" w:color="auto" w:sz="4" w:space="0"/>
              <w:bottom w:val="single" w:color="auto" w:sz="6" w:space="0"/>
            </w:tcBorders>
            <w:vAlign w:val="center"/>
          </w:tcPr>
          <w:p>
            <w:pPr>
              <w:spacing w:line="276" w:lineRule="auto"/>
              <w:jc w:val="center"/>
              <w:rPr>
                <w:b/>
              </w:rPr>
            </w:pPr>
            <w:r>
              <w:rPr>
                <w:rFonts w:hint="eastAsia"/>
                <w:b/>
              </w:rPr>
              <w:t>性    别</w:t>
            </w:r>
            <w:r>
              <w:rPr>
                <w:rFonts w:hint="eastAsia"/>
                <w:b/>
                <w:color w:val="FF0000"/>
                <w:sz w:val="24"/>
              </w:rPr>
              <w:t xml:space="preserve"> </w:t>
            </w:r>
          </w:p>
        </w:tc>
        <w:tc>
          <w:tcPr>
            <w:tcW w:w="1003" w:type="dxa"/>
            <w:tcBorders>
              <w:top w:val="double" w:color="auto" w:sz="4" w:space="0"/>
              <w:bottom w:val="single" w:color="auto" w:sz="6" w:space="0"/>
            </w:tcBorders>
            <w:vAlign w:val="center"/>
          </w:tcPr>
          <w:p>
            <w:pPr>
              <w:spacing w:line="276" w:lineRule="auto"/>
              <w:jc w:val="center"/>
              <w:rPr>
                <w:b/>
              </w:rPr>
            </w:pPr>
          </w:p>
        </w:tc>
        <w:tc>
          <w:tcPr>
            <w:tcW w:w="1113" w:type="dxa"/>
            <w:gridSpan w:val="3"/>
            <w:tcBorders>
              <w:top w:val="double" w:color="auto" w:sz="4" w:space="0"/>
              <w:bottom w:val="single" w:color="auto" w:sz="6" w:space="0"/>
            </w:tcBorders>
            <w:vAlign w:val="center"/>
          </w:tcPr>
          <w:p>
            <w:pPr>
              <w:spacing w:line="276" w:lineRule="auto"/>
              <w:jc w:val="center"/>
              <w:rPr>
                <w:b/>
              </w:rPr>
            </w:pPr>
            <w:r>
              <w:rPr>
                <w:rFonts w:hint="eastAsia"/>
                <w:b/>
              </w:rPr>
              <w:t>民    族</w:t>
            </w:r>
          </w:p>
        </w:tc>
        <w:tc>
          <w:tcPr>
            <w:tcW w:w="898" w:type="dxa"/>
            <w:gridSpan w:val="2"/>
            <w:tcBorders>
              <w:top w:val="double" w:color="auto" w:sz="4" w:space="0"/>
              <w:bottom w:val="single" w:color="auto" w:sz="6" w:space="0"/>
            </w:tcBorders>
            <w:vAlign w:val="center"/>
          </w:tcPr>
          <w:p>
            <w:pPr>
              <w:spacing w:line="276" w:lineRule="auto"/>
              <w:jc w:val="center"/>
              <w:rPr>
                <w:b/>
              </w:rPr>
            </w:pPr>
          </w:p>
        </w:tc>
        <w:tc>
          <w:tcPr>
            <w:tcW w:w="1438" w:type="dxa"/>
            <w:vMerge w:val="restart"/>
            <w:tcBorders>
              <w:top w:val="double" w:color="auto" w:sz="4" w:space="0"/>
              <w:bottom w:val="single" w:color="auto" w:sz="6" w:space="0"/>
            </w:tcBorders>
            <w:vAlign w:val="center"/>
          </w:tcPr>
          <w:p>
            <w:pPr>
              <w:spacing w:line="276" w:lineRule="auto"/>
              <w:jc w:val="center"/>
              <w:rPr>
                <w:b/>
              </w:rPr>
            </w:pPr>
            <w:r>
              <w:rPr>
                <w:rFonts w:hint="eastAsia"/>
                <w:b/>
              </w:rPr>
              <w:t>一寸照片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400" w:type="dxa"/>
            <w:tcBorders>
              <w:top w:val="single" w:color="auto" w:sz="6" w:space="0"/>
            </w:tcBorders>
            <w:vAlign w:val="center"/>
          </w:tcPr>
          <w:p>
            <w:pPr>
              <w:spacing w:line="276" w:lineRule="auto"/>
              <w:jc w:val="center"/>
              <w:rPr>
                <w:b/>
              </w:rPr>
            </w:pPr>
            <w:r>
              <w:rPr>
                <w:rFonts w:hint="eastAsia"/>
                <w:b/>
              </w:rPr>
              <w:t>身份证号</w:t>
            </w:r>
          </w:p>
        </w:tc>
        <w:tc>
          <w:tcPr>
            <w:tcW w:w="2151" w:type="dxa"/>
            <w:tcBorders>
              <w:top w:val="single" w:color="auto" w:sz="6" w:space="0"/>
            </w:tcBorders>
            <w:vAlign w:val="center"/>
          </w:tcPr>
          <w:p>
            <w:pPr>
              <w:spacing w:line="276" w:lineRule="auto"/>
              <w:rPr>
                <w:b/>
              </w:rPr>
            </w:pPr>
          </w:p>
        </w:tc>
        <w:tc>
          <w:tcPr>
            <w:tcW w:w="1469" w:type="dxa"/>
            <w:tcBorders>
              <w:top w:val="single" w:color="auto" w:sz="6" w:space="0"/>
              <w:bottom w:val="single" w:color="auto" w:sz="4" w:space="0"/>
            </w:tcBorders>
            <w:vAlign w:val="center"/>
          </w:tcPr>
          <w:p>
            <w:pPr>
              <w:spacing w:line="276" w:lineRule="auto"/>
              <w:jc w:val="center"/>
              <w:rPr>
                <w:b/>
              </w:rPr>
            </w:pPr>
            <w:r>
              <w:rPr>
                <w:rFonts w:hint="eastAsia"/>
                <w:b/>
              </w:rPr>
              <w:t>出生年月</w:t>
            </w:r>
          </w:p>
        </w:tc>
        <w:tc>
          <w:tcPr>
            <w:tcW w:w="1003" w:type="dxa"/>
            <w:tcBorders>
              <w:top w:val="single" w:color="auto" w:sz="6" w:space="0"/>
              <w:bottom w:val="single" w:color="auto" w:sz="4" w:space="0"/>
            </w:tcBorders>
            <w:vAlign w:val="center"/>
          </w:tcPr>
          <w:p>
            <w:pPr>
              <w:spacing w:line="276" w:lineRule="auto"/>
              <w:jc w:val="center"/>
              <w:rPr>
                <w:b/>
              </w:rPr>
            </w:pPr>
          </w:p>
        </w:tc>
        <w:tc>
          <w:tcPr>
            <w:tcW w:w="1113" w:type="dxa"/>
            <w:gridSpan w:val="3"/>
            <w:tcBorders>
              <w:top w:val="single" w:color="auto" w:sz="6" w:space="0"/>
              <w:bottom w:val="single" w:color="auto" w:sz="4" w:space="0"/>
            </w:tcBorders>
            <w:vAlign w:val="center"/>
          </w:tcPr>
          <w:p>
            <w:pPr>
              <w:spacing w:line="276" w:lineRule="auto"/>
              <w:jc w:val="center"/>
              <w:rPr>
                <w:b/>
              </w:rPr>
            </w:pPr>
            <w:r>
              <w:rPr>
                <w:rFonts w:hint="eastAsia"/>
                <w:b/>
              </w:rPr>
              <w:t>政治面貌</w:t>
            </w:r>
          </w:p>
        </w:tc>
        <w:tc>
          <w:tcPr>
            <w:tcW w:w="898" w:type="dxa"/>
            <w:gridSpan w:val="2"/>
            <w:tcBorders>
              <w:top w:val="single" w:color="auto" w:sz="6" w:space="0"/>
              <w:bottom w:val="single" w:color="auto" w:sz="4" w:space="0"/>
            </w:tcBorders>
            <w:vAlign w:val="center"/>
          </w:tcPr>
          <w:p>
            <w:pPr>
              <w:spacing w:line="276" w:lineRule="auto"/>
              <w:jc w:val="center"/>
              <w:rPr>
                <w:b/>
              </w:rPr>
            </w:pPr>
          </w:p>
        </w:tc>
        <w:tc>
          <w:tcPr>
            <w:tcW w:w="1438" w:type="dxa"/>
            <w:vMerge w:val="continue"/>
            <w:tcBorders>
              <w:top w:val="single" w:color="auto" w:sz="6" w:space="0"/>
            </w:tcBorders>
            <w:vAlign w:val="center"/>
          </w:tcPr>
          <w:p>
            <w:pPr>
              <w:spacing w:line="276" w:lineRule="auto"/>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400" w:type="dxa"/>
            <w:vAlign w:val="center"/>
          </w:tcPr>
          <w:p>
            <w:pPr>
              <w:spacing w:line="276" w:lineRule="auto"/>
              <w:jc w:val="center"/>
              <w:rPr>
                <w:b/>
              </w:rPr>
            </w:pPr>
            <w:r>
              <w:rPr>
                <w:rFonts w:hint="eastAsia"/>
                <w:b/>
              </w:rPr>
              <w:t>手机号码</w:t>
            </w:r>
          </w:p>
        </w:tc>
        <w:tc>
          <w:tcPr>
            <w:tcW w:w="2151" w:type="dxa"/>
            <w:vAlign w:val="center"/>
          </w:tcPr>
          <w:p>
            <w:pPr>
              <w:spacing w:line="276" w:lineRule="auto"/>
              <w:jc w:val="center"/>
              <w:rPr>
                <w:b/>
              </w:rPr>
            </w:pPr>
          </w:p>
        </w:tc>
        <w:tc>
          <w:tcPr>
            <w:tcW w:w="1469" w:type="dxa"/>
            <w:vAlign w:val="center"/>
          </w:tcPr>
          <w:p>
            <w:pPr>
              <w:spacing w:line="276" w:lineRule="auto"/>
              <w:jc w:val="center"/>
              <w:rPr>
                <w:b/>
              </w:rPr>
            </w:pPr>
            <w:r>
              <w:rPr>
                <w:rFonts w:hint="eastAsia"/>
                <w:b/>
              </w:rPr>
              <w:t>籍    贯</w:t>
            </w:r>
          </w:p>
        </w:tc>
        <w:tc>
          <w:tcPr>
            <w:tcW w:w="1003" w:type="dxa"/>
            <w:vAlign w:val="center"/>
          </w:tcPr>
          <w:p>
            <w:pPr>
              <w:spacing w:line="276" w:lineRule="auto"/>
              <w:jc w:val="center"/>
              <w:rPr>
                <w:b/>
              </w:rPr>
            </w:pPr>
          </w:p>
        </w:tc>
        <w:tc>
          <w:tcPr>
            <w:tcW w:w="1113" w:type="dxa"/>
            <w:gridSpan w:val="3"/>
            <w:vAlign w:val="center"/>
          </w:tcPr>
          <w:p>
            <w:pPr>
              <w:spacing w:line="276" w:lineRule="auto"/>
              <w:jc w:val="center"/>
              <w:rPr>
                <w:b/>
              </w:rPr>
            </w:pPr>
            <w:r>
              <w:rPr>
                <w:rFonts w:hint="eastAsia"/>
                <w:b/>
              </w:rPr>
              <w:t>常驻城市</w:t>
            </w:r>
          </w:p>
        </w:tc>
        <w:tc>
          <w:tcPr>
            <w:tcW w:w="898" w:type="dxa"/>
            <w:gridSpan w:val="2"/>
            <w:vAlign w:val="center"/>
          </w:tcPr>
          <w:p>
            <w:pPr>
              <w:spacing w:line="276" w:lineRule="auto"/>
              <w:jc w:val="center"/>
              <w:rPr>
                <w:b/>
              </w:rPr>
            </w:pPr>
          </w:p>
        </w:tc>
        <w:tc>
          <w:tcPr>
            <w:tcW w:w="1438" w:type="dxa"/>
            <w:vMerge w:val="continue"/>
            <w:vAlign w:val="center"/>
          </w:tcPr>
          <w:p>
            <w:pPr>
              <w:spacing w:line="276" w:lineRule="auto"/>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400" w:type="dxa"/>
            <w:tcBorders>
              <w:bottom w:val="single" w:color="auto" w:sz="4" w:space="0"/>
            </w:tcBorders>
            <w:vAlign w:val="center"/>
          </w:tcPr>
          <w:p>
            <w:pPr>
              <w:spacing w:line="276" w:lineRule="auto"/>
              <w:ind w:firstLine="207" w:firstLineChars="98"/>
              <w:rPr>
                <w:b/>
              </w:rPr>
            </w:pPr>
            <w:r>
              <w:rPr>
                <w:rFonts w:hint="eastAsia"/>
                <w:b/>
              </w:rPr>
              <w:t>E-mail</w:t>
            </w:r>
          </w:p>
        </w:tc>
        <w:tc>
          <w:tcPr>
            <w:tcW w:w="2151" w:type="dxa"/>
            <w:vAlign w:val="center"/>
          </w:tcPr>
          <w:p>
            <w:pPr>
              <w:spacing w:line="276" w:lineRule="auto"/>
              <w:jc w:val="center"/>
              <w:rPr>
                <w:b/>
              </w:rPr>
            </w:pPr>
          </w:p>
        </w:tc>
        <w:tc>
          <w:tcPr>
            <w:tcW w:w="1469" w:type="dxa"/>
            <w:vAlign w:val="center"/>
          </w:tcPr>
          <w:p>
            <w:pPr>
              <w:spacing w:line="276" w:lineRule="auto"/>
              <w:jc w:val="center"/>
              <w:rPr>
                <w:b/>
              </w:rPr>
            </w:pPr>
            <w:r>
              <w:rPr>
                <w:rFonts w:hint="eastAsia"/>
                <w:b/>
              </w:rPr>
              <w:t>助理联系人</w:t>
            </w:r>
          </w:p>
        </w:tc>
        <w:tc>
          <w:tcPr>
            <w:tcW w:w="3014" w:type="dxa"/>
            <w:gridSpan w:val="6"/>
            <w:vAlign w:val="center"/>
          </w:tcPr>
          <w:p>
            <w:pPr>
              <w:spacing w:line="276" w:lineRule="auto"/>
              <w:jc w:val="center"/>
              <w:rPr>
                <w:b/>
              </w:rPr>
            </w:pPr>
          </w:p>
        </w:tc>
        <w:tc>
          <w:tcPr>
            <w:tcW w:w="1438" w:type="dxa"/>
            <w:vMerge w:val="continue"/>
            <w:vAlign w:val="center"/>
          </w:tcPr>
          <w:p>
            <w:pPr>
              <w:spacing w:line="276" w:lineRule="auto"/>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83" w:hRule="atLeast"/>
        </w:trPr>
        <w:tc>
          <w:tcPr>
            <w:tcW w:w="1400" w:type="dxa"/>
            <w:vMerge w:val="restart"/>
            <w:vAlign w:val="center"/>
          </w:tcPr>
          <w:p>
            <w:pPr>
              <w:spacing w:line="276" w:lineRule="auto"/>
              <w:jc w:val="center"/>
              <w:rPr>
                <w:b/>
              </w:rPr>
            </w:pPr>
            <w:r>
              <w:rPr>
                <w:rFonts w:hint="eastAsia"/>
                <w:b/>
              </w:rPr>
              <w:t>最高学历</w:t>
            </w:r>
          </w:p>
        </w:tc>
        <w:tc>
          <w:tcPr>
            <w:tcW w:w="2151" w:type="dxa"/>
            <w:vAlign w:val="center"/>
          </w:tcPr>
          <w:p>
            <w:pPr>
              <w:spacing w:line="276" w:lineRule="auto"/>
              <w:jc w:val="center"/>
              <w:rPr>
                <w:b/>
                <w:sz w:val="18"/>
                <w:szCs w:val="18"/>
              </w:rPr>
            </w:pPr>
            <w:r>
              <w:rPr>
                <w:rFonts w:hint="eastAsia"/>
                <w:b/>
              </w:rPr>
              <w:t>院校名称</w:t>
            </w:r>
          </w:p>
        </w:tc>
        <w:tc>
          <w:tcPr>
            <w:tcW w:w="3013" w:type="dxa"/>
            <w:gridSpan w:val="4"/>
            <w:tcBorders>
              <w:right w:val="single" w:color="auto" w:sz="4" w:space="0"/>
            </w:tcBorders>
            <w:vAlign w:val="center"/>
          </w:tcPr>
          <w:p>
            <w:pPr>
              <w:spacing w:line="276" w:lineRule="auto"/>
              <w:jc w:val="center"/>
              <w:rPr>
                <w:b/>
              </w:rPr>
            </w:pPr>
            <w:r>
              <w:rPr>
                <w:rFonts w:hint="eastAsia"/>
                <w:b/>
              </w:rPr>
              <w:t>专业　</w:t>
            </w:r>
          </w:p>
        </w:tc>
        <w:tc>
          <w:tcPr>
            <w:tcW w:w="2908" w:type="dxa"/>
            <w:gridSpan w:val="4"/>
            <w:tcBorders>
              <w:left w:val="single" w:color="auto" w:sz="4" w:space="0"/>
            </w:tcBorders>
            <w:vAlign w:val="center"/>
          </w:tcPr>
          <w:p>
            <w:pPr>
              <w:spacing w:line="276" w:lineRule="auto"/>
              <w:jc w:val="center"/>
              <w:rPr>
                <w:b/>
              </w:rPr>
            </w:pPr>
            <w:r>
              <w:rPr>
                <w:rFonts w:hint="eastAsia"/>
                <w:b/>
              </w:rPr>
              <w:t>学历层次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300" w:hRule="atLeast"/>
        </w:trPr>
        <w:tc>
          <w:tcPr>
            <w:tcW w:w="1400" w:type="dxa"/>
            <w:vMerge w:val="continue"/>
            <w:vAlign w:val="center"/>
          </w:tcPr>
          <w:p>
            <w:pPr>
              <w:spacing w:line="276" w:lineRule="auto"/>
              <w:jc w:val="center"/>
              <w:rPr>
                <w:b/>
              </w:rPr>
            </w:pPr>
          </w:p>
        </w:tc>
        <w:tc>
          <w:tcPr>
            <w:tcW w:w="2151" w:type="dxa"/>
            <w:vAlign w:val="center"/>
          </w:tcPr>
          <w:p>
            <w:pPr>
              <w:spacing w:line="276" w:lineRule="auto"/>
              <w:jc w:val="center"/>
              <w:rPr>
                <w:b/>
              </w:rPr>
            </w:pPr>
          </w:p>
        </w:tc>
        <w:tc>
          <w:tcPr>
            <w:tcW w:w="3013" w:type="dxa"/>
            <w:gridSpan w:val="4"/>
            <w:vAlign w:val="center"/>
          </w:tcPr>
          <w:p>
            <w:pPr>
              <w:spacing w:line="276" w:lineRule="auto"/>
              <w:jc w:val="center"/>
              <w:rPr>
                <w:b/>
              </w:rPr>
            </w:pPr>
          </w:p>
        </w:tc>
        <w:tc>
          <w:tcPr>
            <w:tcW w:w="2908" w:type="dxa"/>
            <w:gridSpan w:val="4"/>
            <w:vAlign w:val="center"/>
          </w:tcPr>
          <w:p>
            <w:pPr>
              <w:spacing w:line="276" w:lineRule="auto"/>
              <w:jc w:val="center"/>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69" w:hRule="atLeast"/>
        </w:trPr>
        <w:tc>
          <w:tcPr>
            <w:tcW w:w="1400" w:type="dxa"/>
            <w:vAlign w:val="center"/>
          </w:tcPr>
          <w:p>
            <w:pPr>
              <w:spacing w:line="276" w:lineRule="auto"/>
              <w:jc w:val="center"/>
              <w:rPr>
                <w:b/>
              </w:rPr>
            </w:pPr>
            <w:r>
              <w:rPr>
                <w:rFonts w:hint="eastAsia"/>
                <w:b/>
              </w:rPr>
              <w:t>事业成就</w:t>
            </w:r>
          </w:p>
          <w:p>
            <w:pPr>
              <w:spacing w:line="276" w:lineRule="auto"/>
              <w:jc w:val="center"/>
              <w:rPr>
                <w:b/>
              </w:rPr>
            </w:pPr>
            <w:r>
              <w:rPr>
                <w:rFonts w:hint="eastAsia"/>
                <w:b/>
              </w:rPr>
              <w:t>与履历</w:t>
            </w:r>
          </w:p>
        </w:tc>
        <w:tc>
          <w:tcPr>
            <w:tcW w:w="8072" w:type="dxa"/>
            <w:gridSpan w:val="9"/>
            <w:vAlign w:val="center"/>
          </w:tcPr>
          <w:p>
            <w:pPr>
              <w:spacing w:line="276" w:lineRule="auto"/>
              <w:rPr>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1400" w:type="dxa"/>
            <w:tcBorders>
              <w:top w:val="single" w:color="auto" w:sz="6" w:space="0"/>
              <w:bottom w:val="double" w:color="auto" w:sz="4" w:space="0"/>
            </w:tcBorders>
            <w:vAlign w:val="center"/>
          </w:tcPr>
          <w:p>
            <w:pPr>
              <w:spacing w:line="276" w:lineRule="auto"/>
              <w:jc w:val="center"/>
              <w:rPr>
                <w:b/>
              </w:rPr>
            </w:pPr>
            <w:r>
              <w:rPr>
                <w:rFonts w:hint="eastAsia"/>
                <w:b/>
              </w:rPr>
              <w:t>高级研修</w:t>
            </w:r>
          </w:p>
          <w:p>
            <w:pPr>
              <w:spacing w:line="276" w:lineRule="auto"/>
              <w:jc w:val="center"/>
              <w:rPr>
                <w:b/>
              </w:rPr>
            </w:pPr>
            <w:r>
              <w:rPr>
                <w:rFonts w:hint="eastAsia"/>
                <w:b/>
              </w:rPr>
              <w:t>经历</w:t>
            </w:r>
          </w:p>
        </w:tc>
        <w:tc>
          <w:tcPr>
            <w:tcW w:w="8072" w:type="dxa"/>
            <w:gridSpan w:val="9"/>
            <w:tcBorders>
              <w:top w:val="single" w:color="auto" w:sz="6" w:space="0"/>
              <w:bottom w:val="double" w:color="auto" w:sz="4" w:space="0"/>
            </w:tcBorders>
            <w:vAlign w:val="center"/>
          </w:tcPr>
          <w:p>
            <w:pPr>
              <w:spacing w:line="276" w:lineRule="auto"/>
              <w:rPr>
                <w:b/>
                <w:u w:val="single"/>
              </w:rPr>
            </w:pPr>
            <w:r>
              <w:rPr>
                <w:b/>
              </w:rPr>
              <w:drawing>
                <wp:inline distT="0" distB="0" distL="0" distR="0">
                  <wp:extent cx="533400" cy="228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b/>
              </w:rPr>
              <w:drawing>
                <wp:inline distT="0" distB="0" distL="0" distR="0">
                  <wp:extent cx="533400" cy="2286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rFonts w:hint="eastAsia"/>
                <w:b/>
              </w:rPr>
              <w:t xml:space="preserve"> </w:t>
            </w:r>
            <w:r>
              <w:rPr>
                <w:b/>
              </w:rPr>
              <w:drawing>
                <wp:inline distT="0" distB="0" distL="0" distR="0">
                  <wp:extent cx="523875" cy="22860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3875" cy="228600"/>
                          </a:xfrm>
                          <a:prstGeom prst="rect">
                            <a:avLst/>
                          </a:prstGeom>
                          <a:noFill/>
                          <a:ln>
                            <a:noFill/>
                          </a:ln>
                        </pic:spPr>
                      </pic:pic>
                    </a:graphicData>
                  </a:graphic>
                </wp:inline>
              </w:drawing>
            </w:r>
            <w:r>
              <w:rPr>
                <w:rFonts w:hint="eastAsia"/>
                <w:b/>
              </w:rPr>
              <w:t xml:space="preserve"> </w:t>
            </w:r>
            <w:r>
              <w:rPr>
                <w:b/>
              </w:rPr>
              <w:drawing>
                <wp:inline distT="0" distB="0" distL="0" distR="0">
                  <wp:extent cx="533400" cy="2286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b/>
              </w:rPr>
              <w:t xml:space="preserve"> </w:t>
            </w:r>
            <w:r>
              <w:rPr>
                <w:b/>
              </w:rPr>
              <w:drawing>
                <wp:inline distT="0" distB="0" distL="0" distR="0">
                  <wp:extent cx="504825" cy="22860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4825" cy="228600"/>
                          </a:xfrm>
                          <a:prstGeom prst="rect">
                            <a:avLst/>
                          </a:prstGeom>
                          <a:noFill/>
                          <a:ln>
                            <a:noFill/>
                          </a:ln>
                        </pic:spPr>
                      </pic:pic>
                    </a:graphicData>
                  </a:graphic>
                </wp:inline>
              </w:drawing>
            </w:r>
            <w:r>
              <w:rPr>
                <w:rFonts w:hint="eastAsia"/>
                <w:b/>
                <w:u w:val="single"/>
              </w:rPr>
              <w:t xml:space="preserve">         </w:t>
            </w:r>
            <w:r>
              <w:rPr>
                <w:rFonts w:hint="eastAsia"/>
                <w:b/>
              </w:rPr>
              <w:t xml:space="preserve"> </w:t>
            </w:r>
            <w:r>
              <w:rPr>
                <w:b/>
              </w:rPr>
              <w:drawing>
                <wp:inline distT="0" distB="0" distL="0" distR="0">
                  <wp:extent cx="1381125" cy="22860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1125" cy="228600"/>
                          </a:xfrm>
                          <a:prstGeom prst="rect">
                            <a:avLst/>
                          </a:prstGeom>
                          <a:noFill/>
                          <a:ln>
                            <a:noFill/>
                          </a:ln>
                        </pic:spPr>
                      </pic:pic>
                    </a:graphicData>
                  </a:graphic>
                </wp:inline>
              </w:drawing>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9472" w:type="dxa"/>
            <w:gridSpan w:val="10"/>
            <w:tcBorders>
              <w:top w:val="double" w:color="auto" w:sz="4" w:space="0"/>
              <w:left w:val="nil"/>
              <w:bottom w:val="double" w:color="auto" w:sz="4" w:space="0"/>
              <w:right w:val="nil"/>
            </w:tcBorders>
            <w:vAlign w:val="center"/>
          </w:tcPr>
          <w:p>
            <w:pPr>
              <w:widowControl/>
              <w:jc w:val="left"/>
              <w:rPr>
                <w:rFonts w:ascii="黑体" w:hAnsi="黑体" w:eastAsia="黑体"/>
                <w:b/>
              </w:rPr>
            </w:pPr>
            <w:r>
              <w:rPr>
                <w:rFonts w:hint="eastAsia" w:ascii="黑体" w:hAnsi="黑体" w:eastAsia="黑体"/>
                <w:b/>
                <w:color w:val="C00000"/>
                <w:sz w:val="24"/>
              </w:rPr>
              <w:t>企业信息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400" w:type="dxa"/>
            <w:tcBorders>
              <w:top w:val="double" w:color="auto" w:sz="4" w:space="0"/>
              <w:bottom w:val="single" w:color="auto" w:sz="4" w:space="0"/>
              <w:right w:val="single" w:color="auto" w:sz="4" w:space="0"/>
            </w:tcBorders>
            <w:vAlign w:val="center"/>
          </w:tcPr>
          <w:p>
            <w:pPr>
              <w:spacing w:line="276" w:lineRule="auto"/>
              <w:jc w:val="center"/>
              <w:rPr>
                <w:rFonts w:ascii="宋体" w:hAnsi="宋体"/>
                <w:b/>
              </w:rPr>
            </w:pPr>
            <w:r>
              <w:rPr>
                <w:rFonts w:hint="eastAsia" w:ascii="宋体" w:hAnsi="宋体"/>
                <w:b/>
              </w:rPr>
              <w:t>企业名称</w:t>
            </w:r>
          </w:p>
        </w:tc>
        <w:tc>
          <w:tcPr>
            <w:tcW w:w="4913" w:type="dxa"/>
            <w:gridSpan w:val="4"/>
            <w:tcBorders>
              <w:top w:val="double" w:color="auto" w:sz="4" w:space="0"/>
              <w:left w:val="single" w:color="auto" w:sz="4" w:space="0"/>
              <w:bottom w:val="single" w:color="auto" w:sz="4" w:space="0"/>
            </w:tcBorders>
            <w:vAlign w:val="center"/>
          </w:tcPr>
          <w:p>
            <w:pPr>
              <w:widowControl/>
              <w:spacing w:line="276" w:lineRule="auto"/>
              <w:jc w:val="left"/>
              <w:rPr>
                <w:rFonts w:ascii="宋体" w:hAnsi="宋体"/>
                <w:b/>
              </w:rPr>
            </w:pPr>
            <w:r>
              <w:rPr>
                <w:rFonts w:hint="eastAsia" w:ascii="宋体" w:hAnsi="宋体"/>
                <w:b/>
              </w:rPr>
              <w:t xml:space="preserve">  </w:t>
            </w:r>
          </w:p>
        </w:tc>
        <w:tc>
          <w:tcPr>
            <w:tcW w:w="1147" w:type="dxa"/>
            <w:gridSpan w:val="3"/>
            <w:tcBorders>
              <w:top w:val="double" w:color="auto" w:sz="4" w:space="0"/>
              <w:left w:val="single" w:color="auto" w:sz="4" w:space="0"/>
              <w:bottom w:val="single" w:color="auto" w:sz="4" w:space="0"/>
            </w:tcBorders>
            <w:vAlign w:val="center"/>
          </w:tcPr>
          <w:p>
            <w:pPr>
              <w:widowControl/>
              <w:spacing w:line="276" w:lineRule="auto"/>
              <w:rPr>
                <w:rFonts w:ascii="宋体" w:hAnsi="宋体"/>
                <w:b/>
              </w:rPr>
            </w:pPr>
            <w:r>
              <w:rPr>
                <w:rFonts w:hint="eastAsia" w:ascii="宋体" w:hAnsi="宋体"/>
                <w:b/>
              </w:rPr>
              <w:t>职   务</w:t>
            </w:r>
          </w:p>
        </w:tc>
        <w:tc>
          <w:tcPr>
            <w:tcW w:w="2012" w:type="dxa"/>
            <w:gridSpan w:val="2"/>
            <w:tcBorders>
              <w:top w:val="double" w:color="auto" w:sz="4" w:space="0"/>
              <w:left w:val="single" w:color="auto" w:sz="4" w:space="0"/>
              <w:bottom w:val="single" w:color="auto" w:sz="4" w:space="0"/>
            </w:tcBorders>
            <w:vAlign w:val="center"/>
          </w:tcPr>
          <w:p>
            <w:pPr>
              <w:widowControl/>
              <w:spacing w:line="276" w:lineRule="auto"/>
              <w:jc w:val="left"/>
              <w:rPr>
                <w:rFonts w:ascii="宋体" w:hAnsi="宋体"/>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400" w:type="dxa"/>
            <w:tcBorders>
              <w:top w:val="single" w:color="auto" w:sz="4" w:space="0"/>
              <w:bottom w:val="single" w:color="auto" w:sz="4" w:space="0"/>
            </w:tcBorders>
            <w:vAlign w:val="center"/>
          </w:tcPr>
          <w:p>
            <w:pPr>
              <w:adjustRightInd w:val="0"/>
              <w:snapToGrid w:val="0"/>
              <w:spacing w:line="276" w:lineRule="auto"/>
              <w:jc w:val="center"/>
              <w:rPr>
                <w:rFonts w:ascii="宋体" w:hAnsi="宋体"/>
                <w:b/>
              </w:rPr>
            </w:pPr>
            <w:r>
              <w:rPr>
                <w:rFonts w:hint="eastAsia" w:ascii="宋体" w:hAnsi="宋体"/>
                <w:b/>
              </w:rPr>
              <w:t>主营业务</w:t>
            </w:r>
          </w:p>
        </w:tc>
        <w:tc>
          <w:tcPr>
            <w:tcW w:w="8072" w:type="dxa"/>
            <w:gridSpan w:val="9"/>
            <w:tcBorders>
              <w:top w:val="single" w:color="auto" w:sz="4" w:space="0"/>
              <w:bottom w:val="single" w:color="auto" w:sz="4" w:space="0"/>
            </w:tcBorders>
            <w:vAlign w:val="center"/>
          </w:tcPr>
          <w:p>
            <w:pPr>
              <w:adjustRightInd w:val="0"/>
              <w:snapToGrid w:val="0"/>
              <w:spacing w:line="276" w:lineRule="auto"/>
              <w:rPr>
                <w:rFonts w:ascii="宋体" w:hAnsi="宋体"/>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29" w:hRule="atLeast"/>
        </w:trPr>
        <w:tc>
          <w:tcPr>
            <w:tcW w:w="1400" w:type="dxa"/>
            <w:tcBorders>
              <w:top w:val="single" w:color="auto" w:sz="4" w:space="0"/>
              <w:bottom w:val="single" w:color="auto" w:sz="4" w:space="0"/>
            </w:tcBorders>
            <w:vAlign w:val="center"/>
          </w:tcPr>
          <w:p>
            <w:pPr>
              <w:adjustRightInd w:val="0"/>
              <w:snapToGrid w:val="0"/>
              <w:spacing w:line="276" w:lineRule="auto"/>
              <w:ind w:firstLine="103" w:firstLineChars="49"/>
              <w:rPr>
                <w:rFonts w:ascii="宋体" w:hAnsi="宋体"/>
                <w:b/>
              </w:rPr>
            </w:pPr>
            <w:r>
              <w:rPr>
                <w:rFonts w:hint="eastAsia" w:ascii="宋体" w:hAnsi="宋体"/>
                <w:b/>
              </w:rPr>
              <w:t>公司性质</w:t>
            </w:r>
          </w:p>
        </w:tc>
        <w:tc>
          <w:tcPr>
            <w:tcW w:w="8072" w:type="dxa"/>
            <w:gridSpan w:val="9"/>
            <w:tcBorders>
              <w:top w:val="single" w:color="auto" w:sz="4" w:space="0"/>
              <w:bottom w:val="single" w:color="auto" w:sz="4" w:space="0"/>
            </w:tcBorders>
            <w:vAlign w:val="center"/>
          </w:tcPr>
          <w:p>
            <w:pPr>
              <w:adjustRightInd w:val="0"/>
              <w:snapToGrid w:val="0"/>
              <w:spacing w:line="276" w:lineRule="auto"/>
              <w:rPr>
                <w:rFonts w:ascii="宋体" w:hAnsi="宋体"/>
                <w:b/>
              </w:rPr>
            </w:pPr>
            <w:r>
              <w:rPr>
                <w:rFonts w:ascii="宋体" w:hAnsi="宋体"/>
                <w:b/>
              </w:rPr>
              <w:drawing>
                <wp:inline distT="0" distB="0" distL="0" distR="0">
                  <wp:extent cx="600075" cy="228600"/>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00075" cy="228600"/>
                          </a:xfrm>
                          <a:prstGeom prst="rect">
                            <a:avLst/>
                          </a:prstGeom>
                          <a:noFill/>
                          <a:ln>
                            <a:noFill/>
                          </a:ln>
                        </pic:spPr>
                      </pic:pic>
                    </a:graphicData>
                  </a:graphic>
                </wp:inline>
              </w:drawing>
            </w:r>
            <w:r>
              <w:rPr>
                <w:rFonts w:ascii="宋体" w:hAnsi="宋体"/>
                <w:b/>
              </w:rPr>
              <w:drawing>
                <wp:inline distT="0" distB="0" distL="0" distR="0">
                  <wp:extent cx="571500" cy="2286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1500" cy="228600"/>
                          </a:xfrm>
                          <a:prstGeom prst="rect">
                            <a:avLst/>
                          </a:prstGeom>
                          <a:noFill/>
                          <a:ln>
                            <a:noFill/>
                          </a:ln>
                        </pic:spPr>
                      </pic:pic>
                    </a:graphicData>
                  </a:graphic>
                </wp:inline>
              </w:drawing>
            </w:r>
            <w:r>
              <w:rPr>
                <w:rFonts w:ascii="宋体" w:hAnsi="宋体"/>
                <w:b/>
              </w:rPr>
              <w:drawing>
                <wp:inline distT="0" distB="0" distL="0" distR="0">
                  <wp:extent cx="1000125" cy="228600"/>
                  <wp:effectExtent l="0" t="0" r="9525"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0125" cy="228600"/>
                          </a:xfrm>
                          <a:prstGeom prst="rect">
                            <a:avLst/>
                          </a:prstGeom>
                          <a:noFill/>
                          <a:ln>
                            <a:noFill/>
                          </a:ln>
                        </pic:spPr>
                      </pic:pic>
                    </a:graphicData>
                  </a:graphic>
                </wp:inline>
              </w:drawing>
            </w:r>
            <w:r>
              <w:rPr>
                <w:rFonts w:ascii="宋体" w:hAnsi="宋体"/>
                <w:b/>
              </w:rPr>
              <w:drawing>
                <wp:inline distT="0" distB="0" distL="0" distR="0">
                  <wp:extent cx="533400" cy="228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rFonts w:ascii="宋体" w:hAnsi="宋体"/>
                <w:b/>
              </w:rPr>
              <w:drawing>
                <wp:inline distT="0" distB="0" distL="0" distR="0">
                  <wp:extent cx="600075" cy="228600"/>
                  <wp:effectExtent l="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0075" cy="228600"/>
                          </a:xfrm>
                          <a:prstGeom prst="rect">
                            <a:avLst/>
                          </a:prstGeom>
                          <a:noFill/>
                          <a:ln>
                            <a:noFill/>
                          </a:ln>
                        </pic:spPr>
                      </pic:pic>
                    </a:graphicData>
                  </a:graphic>
                </wp:inline>
              </w:drawing>
            </w:r>
            <w:r>
              <w:rPr>
                <w:rFonts w:ascii="宋体" w:hAnsi="宋体"/>
                <w:b/>
              </w:rPr>
              <w:drawing>
                <wp:inline distT="0" distB="0" distL="0" distR="0">
                  <wp:extent cx="1133475" cy="228600"/>
                  <wp:effectExtent l="0" t="0" r="952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33475" cy="228600"/>
                          </a:xfrm>
                          <a:prstGeom prst="rect">
                            <a:avLst/>
                          </a:prstGeom>
                          <a:noFill/>
                          <a:ln>
                            <a:noFill/>
                          </a:ln>
                        </pic:spPr>
                      </pic:pic>
                    </a:graphicData>
                  </a:graphic>
                </wp:inline>
              </w:drawing>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51" w:hRule="atLeast"/>
        </w:trPr>
        <w:tc>
          <w:tcPr>
            <w:tcW w:w="1400" w:type="dxa"/>
            <w:tcBorders>
              <w:top w:val="single" w:color="auto" w:sz="4" w:space="0"/>
              <w:bottom w:val="single" w:color="auto" w:sz="4" w:space="0"/>
            </w:tcBorders>
            <w:vAlign w:val="center"/>
          </w:tcPr>
          <w:p>
            <w:pPr>
              <w:adjustRightInd w:val="0"/>
              <w:snapToGrid w:val="0"/>
              <w:spacing w:line="276" w:lineRule="auto"/>
              <w:jc w:val="center"/>
              <w:rPr>
                <w:rFonts w:ascii="宋体" w:hAnsi="宋体"/>
                <w:b/>
              </w:rPr>
            </w:pPr>
            <w:r>
              <w:rPr>
                <w:rFonts w:hint="eastAsia" w:ascii="宋体" w:hAnsi="宋体"/>
                <w:b/>
              </w:rPr>
              <w:t>所属行业</w:t>
            </w:r>
          </w:p>
        </w:tc>
        <w:tc>
          <w:tcPr>
            <w:tcW w:w="8072" w:type="dxa"/>
            <w:gridSpan w:val="9"/>
            <w:tcBorders>
              <w:top w:val="single" w:color="auto" w:sz="4" w:space="0"/>
              <w:bottom w:val="single" w:color="auto" w:sz="4" w:space="0"/>
            </w:tcBorders>
            <w:vAlign w:val="center"/>
          </w:tcPr>
          <w:p>
            <w:pPr>
              <w:adjustRightInd w:val="0"/>
              <w:snapToGrid w:val="0"/>
              <w:spacing w:line="276" w:lineRule="auto"/>
              <w:rPr>
                <w:rFonts w:ascii="宋体" w:hAnsi="宋体"/>
                <w:b/>
                <w:u w:val="single"/>
              </w:rPr>
            </w:pPr>
            <w:r>
              <w:rPr>
                <w:rFonts w:ascii="宋体" w:hAnsi="宋体"/>
                <w:b/>
              </w:rPr>
              <w:drawing>
                <wp:inline distT="0" distB="0" distL="0" distR="0">
                  <wp:extent cx="1171575" cy="228600"/>
                  <wp:effectExtent l="0" t="0" r="952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71575" cy="228600"/>
                          </a:xfrm>
                          <a:prstGeom prst="rect">
                            <a:avLst/>
                          </a:prstGeom>
                          <a:noFill/>
                          <a:ln>
                            <a:noFill/>
                          </a:ln>
                        </pic:spPr>
                      </pic:pic>
                    </a:graphicData>
                  </a:graphic>
                </wp:inline>
              </w:drawing>
            </w:r>
            <w:r>
              <w:rPr>
                <w:rFonts w:ascii="宋体" w:hAnsi="宋体"/>
                <w:b/>
              </w:rPr>
              <w:drawing>
                <wp:inline distT="0" distB="0" distL="0" distR="0">
                  <wp:extent cx="923925" cy="228600"/>
                  <wp:effectExtent l="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23925" cy="228600"/>
                          </a:xfrm>
                          <a:prstGeom prst="rect">
                            <a:avLst/>
                          </a:prstGeom>
                          <a:noFill/>
                          <a:ln>
                            <a:noFill/>
                          </a:ln>
                        </pic:spPr>
                      </pic:pic>
                    </a:graphicData>
                  </a:graphic>
                </wp:inline>
              </w:drawing>
            </w:r>
            <w:r>
              <w:rPr>
                <w:rFonts w:ascii="宋体" w:hAnsi="宋体"/>
                <w:b/>
              </w:rPr>
              <w:drawing>
                <wp:inline distT="0" distB="0" distL="0" distR="0">
                  <wp:extent cx="1171575" cy="228600"/>
                  <wp:effectExtent l="0" t="0" r="9525"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171575" cy="228600"/>
                          </a:xfrm>
                          <a:prstGeom prst="rect">
                            <a:avLst/>
                          </a:prstGeom>
                          <a:noFill/>
                          <a:ln>
                            <a:noFill/>
                          </a:ln>
                        </pic:spPr>
                      </pic:pic>
                    </a:graphicData>
                  </a:graphic>
                </wp:inline>
              </w:drawing>
            </w:r>
            <w:r>
              <w:rPr>
                <w:rFonts w:ascii="宋体" w:hAnsi="宋体"/>
                <w:b/>
              </w:rPr>
              <w:drawing>
                <wp:inline distT="0" distB="0" distL="0" distR="0">
                  <wp:extent cx="1381125" cy="228600"/>
                  <wp:effectExtent l="0" t="0" r="952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81125" cy="228600"/>
                          </a:xfrm>
                          <a:prstGeom prst="rect">
                            <a:avLst/>
                          </a:prstGeom>
                          <a:noFill/>
                          <a:ln>
                            <a:noFill/>
                          </a:ln>
                        </pic:spPr>
                      </pic:pic>
                    </a:graphicData>
                  </a:graphic>
                </wp:inline>
              </w:drawing>
            </w:r>
            <w:r>
              <w:rPr>
                <w:rFonts w:ascii="宋体" w:hAnsi="宋体"/>
                <w:b/>
              </w:rPr>
              <w:drawing>
                <wp:inline distT="0" distB="0" distL="0" distR="0">
                  <wp:extent cx="923925" cy="228600"/>
                  <wp:effectExtent l="0" t="0" r="952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23925" cy="228600"/>
                          </a:xfrm>
                          <a:prstGeom prst="rect">
                            <a:avLst/>
                          </a:prstGeom>
                          <a:noFill/>
                          <a:ln>
                            <a:noFill/>
                          </a:ln>
                        </pic:spPr>
                      </pic:pic>
                    </a:graphicData>
                  </a:graphic>
                </wp:inline>
              </w:drawing>
            </w:r>
            <w:r>
              <w:rPr>
                <w:rFonts w:ascii="宋体" w:hAnsi="宋体"/>
                <w:b/>
              </w:rPr>
              <w:drawing>
                <wp:inline distT="0" distB="0" distL="0" distR="0">
                  <wp:extent cx="828675" cy="228600"/>
                  <wp:effectExtent l="0" t="0" r="952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828675" cy="228600"/>
                          </a:xfrm>
                          <a:prstGeom prst="rect">
                            <a:avLst/>
                          </a:prstGeom>
                          <a:noFill/>
                          <a:ln>
                            <a:noFill/>
                          </a:ln>
                        </pic:spPr>
                      </pic:pic>
                    </a:graphicData>
                  </a:graphic>
                </wp:inline>
              </w:drawing>
            </w:r>
            <w:r>
              <w:rPr>
                <w:rFonts w:ascii="宋体" w:hAnsi="宋体"/>
                <w:b/>
              </w:rPr>
              <w:drawing>
                <wp:inline distT="0" distB="0" distL="0" distR="0">
                  <wp:extent cx="942975" cy="228600"/>
                  <wp:effectExtent l="0" t="0" r="9525"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42975" cy="228600"/>
                          </a:xfrm>
                          <a:prstGeom prst="rect">
                            <a:avLst/>
                          </a:prstGeom>
                          <a:noFill/>
                          <a:ln>
                            <a:noFill/>
                          </a:ln>
                        </pic:spPr>
                      </pic:pic>
                    </a:graphicData>
                  </a:graphic>
                </wp:inline>
              </w:drawing>
            </w:r>
            <w:r>
              <w:rPr>
                <w:rFonts w:ascii="宋体" w:hAnsi="宋体"/>
                <w:b/>
              </w:rPr>
              <w:drawing>
                <wp:inline distT="0" distB="0" distL="0" distR="0">
                  <wp:extent cx="942975" cy="228600"/>
                  <wp:effectExtent l="0" t="0" r="952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942975" cy="228600"/>
                          </a:xfrm>
                          <a:prstGeom prst="rect">
                            <a:avLst/>
                          </a:prstGeom>
                          <a:noFill/>
                          <a:ln>
                            <a:noFill/>
                          </a:ln>
                        </pic:spPr>
                      </pic:pic>
                    </a:graphicData>
                  </a:graphic>
                </wp:inline>
              </w:drawing>
            </w:r>
            <w:r>
              <w:rPr>
                <w:rFonts w:ascii="宋体" w:hAnsi="宋体"/>
                <w:b/>
              </w:rPr>
              <w:drawing>
                <wp:inline distT="0" distB="0" distL="0" distR="0">
                  <wp:extent cx="533400" cy="2286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rFonts w:hint="eastAsia" w:ascii="宋体" w:hAnsi="宋体"/>
                <w:b/>
                <w:u w:val="single"/>
              </w:rPr>
              <w:t xml:space="preserve">           </w:t>
            </w:r>
            <w:r>
              <w:rPr>
                <w:rFonts w:hint="eastAsia" w:ascii="宋体" w:hAnsi="宋体"/>
                <w:b/>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751" w:hRule="atLeast"/>
        </w:trPr>
        <w:tc>
          <w:tcPr>
            <w:tcW w:w="1400" w:type="dxa"/>
            <w:tcBorders>
              <w:top w:val="single" w:color="auto" w:sz="4" w:space="0"/>
              <w:bottom w:val="single" w:color="auto" w:sz="4" w:space="0"/>
            </w:tcBorders>
            <w:vAlign w:val="center"/>
          </w:tcPr>
          <w:p>
            <w:pPr>
              <w:adjustRightInd w:val="0"/>
              <w:snapToGrid w:val="0"/>
              <w:spacing w:line="276" w:lineRule="auto"/>
              <w:jc w:val="center"/>
              <w:rPr>
                <w:rFonts w:ascii="宋体" w:hAnsi="宋体"/>
                <w:b/>
              </w:rPr>
            </w:pPr>
            <w:r>
              <w:rPr>
                <w:rFonts w:hint="eastAsia" w:ascii="宋体" w:hAnsi="宋体"/>
                <w:b/>
              </w:rPr>
              <w:t>年营业额</w:t>
            </w:r>
          </w:p>
          <w:p>
            <w:pPr>
              <w:adjustRightInd w:val="0"/>
              <w:snapToGrid w:val="0"/>
              <w:spacing w:line="276" w:lineRule="auto"/>
              <w:jc w:val="center"/>
              <w:rPr>
                <w:rFonts w:ascii="宋体" w:hAnsi="宋体"/>
                <w:b/>
              </w:rPr>
            </w:pPr>
            <w:r>
              <w:rPr>
                <w:rFonts w:hint="eastAsia" w:ascii="宋体" w:hAnsi="宋体"/>
                <w:b/>
              </w:rPr>
              <w:t>（RMB)</w:t>
            </w:r>
          </w:p>
        </w:tc>
        <w:tc>
          <w:tcPr>
            <w:tcW w:w="8072" w:type="dxa"/>
            <w:gridSpan w:val="9"/>
            <w:tcBorders>
              <w:top w:val="single" w:color="auto" w:sz="4" w:space="0"/>
              <w:bottom w:val="single" w:color="auto" w:sz="4" w:space="0"/>
            </w:tcBorders>
            <w:vAlign w:val="center"/>
          </w:tcPr>
          <w:p>
            <w:pPr>
              <w:adjustRightInd w:val="0"/>
              <w:snapToGrid w:val="0"/>
              <w:spacing w:line="276" w:lineRule="auto"/>
              <w:rPr>
                <w:rFonts w:ascii="宋体" w:hAnsi="宋体"/>
                <w:b/>
              </w:rPr>
            </w:pPr>
            <w:r>
              <w:rPr>
                <w:rFonts w:ascii="宋体" w:hAnsi="宋体"/>
                <w:b/>
              </w:rPr>
              <w:drawing>
                <wp:inline distT="0" distB="0" distL="0" distR="0">
                  <wp:extent cx="1266825" cy="228600"/>
                  <wp:effectExtent l="0" t="0" r="952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66825" cy="228600"/>
                          </a:xfrm>
                          <a:prstGeom prst="rect">
                            <a:avLst/>
                          </a:prstGeom>
                          <a:noFill/>
                          <a:ln>
                            <a:noFill/>
                          </a:ln>
                        </pic:spPr>
                      </pic:pic>
                    </a:graphicData>
                  </a:graphic>
                </wp:inline>
              </w:drawing>
            </w:r>
            <w:r>
              <w:rPr>
                <w:rFonts w:ascii="宋体" w:hAnsi="宋体"/>
                <w:b/>
              </w:rPr>
              <w:drawing>
                <wp:inline distT="0" distB="0" distL="0" distR="0">
                  <wp:extent cx="1219200" cy="2286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19200" cy="228600"/>
                          </a:xfrm>
                          <a:prstGeom prst="rect">
                            <a:avLst/>
                          </a:prstGeom>
                          <a:noFill/>
                          <a:ln>
                            <a:noFill/>
                          </a:ln>
                        </pic:spPr>
                      </pic:pic>
                    </a:graphicData>
                  </a:graphic>
                </wp:inline>
              </w:drawing>
            </w:r>
            <w:r>
              <w:rPr>
                <w:rFonts w:ascii="宋体" w:hAnsi="宋体"/>
                <w:b/>
              </w:rPr>
              <w:drawing>
                <wp:inline distT="0" distB="0" distL="0" distR="0">
                  <wp:extent cx="1409700" cy="238125"/>
                  <wp:effectExtent l="0" t="0" r="0" b="952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8" cstate="print">
                            <a:extLst>
                              <a:ext uri="{28A0092B-C50C-407E-A947-70E740481C1C}">
                                <a14:useLocalDpi xmlns:a14="http://schemas.microsoft.com/office/drawing/2010/main" val="0"/>
                              </a:ext>
                            </a:extLst>
                          </a:blip>
                          <a:srcRect r="20605"/>
                          <a:stretch>
                            <a:fillRect/>
                          </a:stretch>
                        </pic:blipFill>
                        <pic:spPr>
                          <a:xfrm>
                            <a:off x="0" y="0"/>
                            <a:ext cx="1404964" cy="237325"/>
                          </a:xfrm>
                          <a:prstGeom prst="rect">
                            <a:avLst/>
                          </a:prstGeom>
                          <a:noFill/>
                          <a:ln>
                            <a:noFill/>
                          </a:ln>
                        </pic:spPr>
                      </pic:pic>
                    </a:graphicData>
                  </a:graphic>
                </wp:inline>
              </w:drawing>
            </w:r>
            <w:r>
              <w:rPr>
                <w:rFonts w:ascii="宋体" w:hAnsi="宋体"/>
                <w:b/>
              </w:rPr>
              <w:drawing>
                <wp:inline distT="0" distB="0" distL="0" distR="0">
                  <wp:extent cx="1581150" cy="228600"/>
                  <wp:effectExtent l="0" t="0" r="0" b="0"/>
                  <wp:docPr id="57" name="图片 57" descr="1343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13432324"/>
                          <pic:cNvPicPr>
                            <a:picLocks noChangeAspect="1" noChangeArrowheads="1"/>
                          </pic:cNvPicPr>
                        </pic:nvPicPr>
                        <pic:blipFill>
                          <a:blip r:embed="rId29" cstate="print">
                            <a:extLst>
                              <a:ext uri="{28A0092B-C50C-407E-A947-70E740481C1C}">
                                <a14:useLocalDpi xmlns:a14="http://schemas.microsoft.com/office/drawing/2010/main" val="0"/>
                              </a:ext>
                            </a:extLst>
                          </a:blip>
                          <a:srcRect l="-1" r="-72917"/>
                          <a:stretch>
                            <a:fillRect/>
                          </a:stretch>
                        </pic:blipFill>
                        <pic:spPr>
                          <a:xfrm>
                            <a:off x="0" y="0"/>
                            <a:ext cx="1581150" cy="228600"/>
                          </a:xfrm>
                          <a:prstGeom prst="rect">
                            <a:avLst/>
                          </a:prstGeom>
                          <a:noFill/>
                          <a:ln>
                            <a:noFill/>
                          </a:ln>
                        </pic:spPr>
                      </pic:pic>
                    </a:graphicData>
                  </a:graphic>
                </wp:inline>
              </w:drawing>
            </w:r>
            <w:r>
              <w:rPr>
                <w:rFonts w:ascii="宋体" w:hAnsi="宋体"/>
                <w:b/>
              </w:rPr>
              <w:drawing>
                <wp:inline distT="0" distB="0" distL="0" distR="0">
                  <wp:extent cx="1571625" cy="2286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30" cstate="print">
                            <a:extLst>
                              <a:ext uri="{28A0092B-C50C-407E-A947-70E740481C1C}">
                                <a14:useLocalDpi xmlns:a14="http://schemas.microsoft.com/office/drawing/2010/main" val="0"/>
                              </a:ext>
                            </a:extLst>
                          </a:blip>
                          <a:srcRect l="-1" r="-5096"/>
                          <a:stretch>
                            <a:fillRect/>
                          </a:stretch>
                        </pic:blipFill>
                        <pic:spPr>
                          <a:xfrm>
                            <a:off x="0" y="0"/>
                            <a:ext cx="1571625" cy="228600"/>
                          </a:xfrm>
                          <a:prstGeom prst="rect">
                            <a:avLst/>
                          </a:prstGeom>
                          <a:noFill/>
                          <a:ln>
                            <a:noFill/>
                          </a:ln>
                        </pic:spPr>
                      </pic:pic>
                    </a:graphicData>
                  </a:graphic>
                </wp:inline>
              </w:drawing>
            </w:r>
            <w:r>
              <w:rPr>
                <w:rFonts w:hint="eastAsia" w:ascii="宋体" w:hAnsi="宋体"/>
                <w:b/>
              </w:rPr>
              <w:t xml:space="preserve">   </w:t>
            </w:r>
            <w:r>
              <w:rPr>
                <w:rFonts w:hint="eastAsia" w:ascii="宋体" w:hAnsi="宋体"/>
              </w:rPr>
              <w:drawing>
                <wp:inline distT="0" distB="0" distL="0" distR="0">
                  <wp:extent cx="1371600" cy="2286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71792" cy="228632"/>
                          </a:xfrm>
                          <a:prstGeom prst="rect">
                            <a:avLst/>
                          </a:prstGeom>
                        </pic:spPr>
                      </pic:pic>
                    </a:graphicData>
                  </a:graphic>
                </wp:inline>
              </w:drawing>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07" w:hRule="atLeast"/>
        </w:trPr>
        <w:tc>
          <w:tcPr>
            <w:tcW w:w="1400" w:type="dxa"/>
            <w:tcBorders>
              <w:top w:val="single" w:color="auto" w:sz="4" w:space="0"/>
              <w:bottom w:val="double" w:color="auto" w:sz="4" w:space="0"/>
            </w:tcBorders>
            <w:vAlign w:val="center"/>
          </w:tcPr>
          <w:p>
            <w:pPr>
              <w:adjustRightInd w:val="0"/>
              <w:snapToGrid w:val="0"/>
              <w:spacing w:line="276" w:lineRule="auto"/>
              <w:jc w:val="center"/>
              <w:rPr>
                <w:rFonts w:ascii="宋体" w:hAnsi="宋体"/>
                <w:b/>
              </w:rPr>
            </w:pPr>
            <w:r>
              <w:rPr>
                <w:rFonts w:hint="eastAsia" w:ascii="宋体" w:hAnsi="宋体"/>
                <w:b/>
              </w:rPr>
              <w:t>企业规模</w:t>
            </w:r>
          </w:p>
        </w:tc>
        <w:tc>
          <w:tcPr>
            <w:tcW w:w="8072" w:type="dxa"/>
            <w:gridSpan w:val="9"/>
            <w:tcBorders>
              <w:top w:val="single" w:color="auto" w:sz="4" w:space="0"/>
              <w:bottom w:val="double" w:color="auto" w:sz="4" w:space="0"/>
            </w:tcBorders>
            <w:vAlign w:val="center"/>
          </w:tcPr>
          <w:p>
            <w:pPr>
              <w:adjustRightInd w:val="0"/>
              <w:snapToGrid w:val="0"/>
              <w:spacing w:line="276" w:lineRule="auto"/>
              <w:rPr>
                <w:rFonts w:ascii="宋体" w:hAnsi="宋体"/>
                <w:b/>
              </w:rPr>
            </w:pPr>
            <w:r>
              <w:rPr>
                <w:rFonts w:ascii="宋体" w:hAnsi="宋体"/>
                <w:b/>
              </w:rPr>
              <w:drawing>
                <wp:inline distT="0" distB="0" distL="0" distR="0">
                  <wp:extent cx="923925" cy="228600"/>
                  <wp:effectExtent l="0" t="0" r="952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23925" cy="228600"/>
                          </a:xfrm>
                          <a:prstGeom prst="rect">
                            <a:avLst/>
                          </a:prstGeom>
                          <a:noFill/>
                          <a:ln>
                            <a:noFill/>
                          </a:ln>
                        </pic:spPr>
                      </pic:pic>
                    </a:graphicData>
                  </a:graphic>
                </wp:inline>
              </w:drawing>
            </w:r>
            <w:r>
              <w:rPr>
                <w:rFonts w:ascii="宋体" w:hAnsi="宋体"/>
                <w:b/>
              </w:rPr>
              <w:drawing>
                <wp:inline distT="0" distB="0" distL="0" distR="0">
                  <wp:extent cx="923925" cy="228600"/>
                  <wp:effectExtent l="0" t="0" r="952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923925" cy="228600"/>
                          </a:xfrm>
                          <a:prstGeom prst="rect">
                            <a:avLst/>
                          </a:prstGeom>
                          <a:noFill/>
                          <a:ln>
                            <a:noFill/>
                          </a:ln>
                        </pic:spPr>
                      </pic:pic>
                    </a:graphicData>
                  </a:graphic>
                </wp:inline>
              </w:drawing>
            </w:r>
            <w:r>
              <w:rPr>
                <w:rFonts w:ascii="宋体" w:hAnsi="宋体"/>
                <w:b/>
              </w:rPr>
              <w:drawing>
                <wp:inline distT="0" distB="0" distL="0" distR="0">
                  <wp:extent cx="971550" cy="2286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71550" cy="228600"/>
                          </a:xfrm>
                          <a:prstGeom prst="rect">
                            <a:avLst/>
                          </a:prstGeom>
                          <a:noFill/>
                          <a:ln>
                            <a:noFill/>
                          </a:ln>
                        </pic:spPr>
                      </pic:pic>
                    </a:graphicData>
                  </a:graphic>
                </wp:inline>
              </w:drawing>
            </w:r>
            <w:r>
              <w:rPr>
                <w:rFonts w:ascii="宋体" w:hAnsi="宋体"/>
                <w:b/>
              </w:rPr>
              <w:drawing>
                <wp:inline distT="0" distB="0" distL="0" distR="0">
                  <wp:extent cx="1000125" cy="228600"/>
                  <wp:effectExtent l="0" t="0" r="9525"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000125" cy="228600"/>
                          </a:xfrm>
                          <a:prstGeom prst="rect">
                            <a:avLst/>
                          </a:prstGeom>
                          <a:noFill/>
                          <a:ln>
                            <a:noFill/>
                          </a:ln>
                        </pic:spPr>
                      </pic:pic>
                    </a:graphicData>
                  </a:graphic>
                </wp:inline>
              </w:drawing>
            </w:r>
            <w:r>
              <w:rPr>
                <w:rFonts w:ascii="宋体" w:hAnsi="宋体"/>
                <w:b/>
              </w:rPr>
              <w:drawing>
                <wp:inline distT="0" distB="0" distL="0" distR="0">
                  <wp:extent cx="1000125" cy="228600"/>
                  <wp:effectExtent l="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00125" cy="228600"/>
                          </a:xfrm>
                          <a:prstGeom prst="rect">
                            <a:avLst/>
                          </a:prstGeom>
                          <a:noFill/>
                          <a:ln>
                            <a:noFill/>
                          </a:ln>
                        </pic:spPr>
                      </pic:pic>
                    </a:graphicData>
                  </a:graphic>
                </wp:inline>
              </w:drawing>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3" w:hRule="atLeast"/>
        </w:trPr>
        <w:tc>
          <w:tcPr>
            <w:tcW w:w="1400" w:type="dxa"/>
            <w:tcBorders>
              <w:top w:val="double" w:color="auto" w:sz="4" w:space="0"/>
              <w:left w:val="nil"/>
              <w:bottom w:val="nil"/>
              <w:right w:val="nil"/>
            </w:tcBorders>
            <w:vAlign w:val="center"/>
          </w:tcPr>
          <w:p>
            <w:pPr>
              <w:adjustRightInd w:val="0"/>
              <w:snapToGrid w:val="0"/>
              <w:spacing w:line="120" w:lineRule="exact"/>
              <w:jc w:val="center"/>
              <w:rPr>
                <w:rFonts w:ascii="宋体" w:hAnsi="宋体"/>
                <w:b/>
              </w:rPr>
            </w:pPr>
          </w:p>
        </w:tc>
        <w:tc>
          <w:tcPr>
            <w:tcW w:w="8072" w:type="dxa"/>
            <w:gridSpan w:val="9"/>
            <w:tcBorders>
              <w:top w:val="double" w:color="auto" w:sz="4" w:space="0"/>
              <w:left w:val="nil"/>
              <w:bottom w:val="nil"/>
              <w:right w:val="nil"/>
            </w:tcBorders>
            <w:vAlign w:val="center"/>
          </w:tcPr>
          <w:p>
            <w:pPr>
              <w:adjustRightInd w:val="0"/>
              <w:snapToGrid w:val="0"/>
              <w:spacing w:line="120" w:lineRule="exact"/>
              <w:rPr>
                <w:rFonts w:ascii="宋体" w:hAnsi="宋体"/>
                <w:b/>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23" w:hRule="atLeast"/>
        </w:trPr>
        <w:tc>
          <w:tcPr>
            <w:tcW w:w="9472" w:type="dxa"/>
            <w:gridSpan w:val="10"/>
            <w:tcBorders>
              <w:top w:val="nil"/>
              <w:bottom w:val="double" w:color="auto" w:sz="4" w:space="0"/>
            </w:tcBorders>
            <w:vAlign w:val="center"/>
          </w:tcPr>
          <w:p>
            <w:pPr>
              <w:pBdr>
                <w:top w:val="double" w:color="auto" w:sz="4" w:space="1"/>
                <w:left w:val="double" w:color="auto" w:sz="4" w:space="4"/>
                <w:right w:val="double" w:color="auto" w:sz="4" w:space="4"/>
              </w:pBdr>
              <w:adjustRightInd w:val="0"/>
              <w:snapToGrid w:val="0"/>
              <w:spacing w:line="276" w:lineRule="auto"/>
              <w:rPr>
                <w:rFonts w:ascii="宋体" w:hAnsi="宋体"/>
                <w:b/>
              </w:rPr>
            </w:pPr>
            <w:r>
              <w:rPr>
                <w:rFonts w:hint="eastAsia" w:ascii="宋体" w:hAnsi="宋体"/>
                <w:b/>
              </w:rPr>
              <w:t>您对本次学习的期待和建议：</w:t>
            </w:r>
          </w:p>
          <w:p>
            <w:pPr>
              <w:adjustRightInd w:val="0"/>
              <w:snapToGrid w:val="0"/>
              <w:spacing w:line="276" w:lineRule="auto"/>
              <w:rPr>
                <w:rFonts w:ascii="宋体" w:hAnsi="宋体"/>
                <w:b/>
              </w:rPr>
            </w:pPr>
            <w:r>
              <w:rPr>
                <w:rFonts w:hint="eastAsia" w:ascii="宋体" w:hAnsi="宋体"/>
                <w:b/>
              </w:rPr>
              <w:t xml:space="preserve">         </w:t>
            </w:r>
          </w:p>
          <w:p>
            <w:pPr>
              <w:adjustRightInd w:val="0"/>
              <w:snapToGrid w:val="0"/>
              <w:spacing w:line="276" w:lineRule="auto"/>
              <w:rPr>
                <w:rFonts w:ascii="宋体" w:hAnsi="宋体"/>
                <w:b/>
              </w:rPr>
            </w:pPr>
          </w:p>
          <w:p>
            <w:pPr>
              <w:adjustRightInd w:val="0"/>
              <w:snapToGrid w:val="0"/>
              <w:spacing w:line="276" w:lineRule="auto"/>
              <w:rPr>
                <w:rFonts w:ascii="宋体" w:hAnsi="宋体"/>
                <w:b/>
              </w:rPr>
            </w:pPr>
          </w:p>
          <w:p>
            <w:pPr>
              <w:adjustRightInd w:val="0"/>
              <w:snapToGrid w:val="0"/>
              <w:spacing w:line="276" w:lineRule="auto"/>
              <w:rPr>
                <w:rFonts w:ascii="宋体" w:hAnsi="宋体"/>
                <w:b/>
              </w:rPr>
            </w:pPr>
          </w:p>
          <w:p>
            <w:pPr>
              <w:adjustRightInd w:val="0"/>
              <w:snapToGrid w:val="0"/>
              <w:spacing w:line="276" w:lineRule="auto"/>
              <w:rPr>
                <w:rFonts w:ascii="宋体" w:hAnsi="宋体"/>
                <w:b/>
              </w:rPr>
            </w:pPr>
          </w:p>
          <w:p>
            <w:pPr>
              <w:adjustRightInd w:val="0"/>
              <w:snapToGrid w:val="0"/>
              <w:spacing w:line="276" w:lineRule="auto"/>
              <w:rPr>
                <w:rFonts w:ascii="宋体" w:hAnsi="宋体"/>
                <w:b/>
              </w:rPr>
            </w:pPr>
          </w:p>
          <w:p>
            <w:pPr>
              <w:adjustRightInd w:val="0"/>
              <w:snapToGrid w:val="0"/>
              <w:spacing w:line="276" w:lineRule="auto"/>
              <w:rPr>
                <w:rFonts w:ascii="宋体" w:hAnsi="宋体"/>
                <w:b/>
              </w:rPr>
            </w:pPr>
          </w:p>
          <w:p>
            <w:pPr>
              <w:adjustRightInd w:val="0"/>
              <w:snapToGrid w:val="0"/>
              <w:spacing w:line="276" w:lineRule="auto"/>
              <w:rPr>
                <w:rFonts w:ascii="宋体" w:hAnsi="宋体"/>
                <w:b/>
                <w:u w:val="single"/>
              </w:rPr>
            </w:pPr>
            <w:r>
              <w:rPr>
                <w:rFonts w:hint="eastAsia" w:ascii="宋体" w:hAnsi="宋体"/>
                <w:b/>
              </w:rPr>
              <w:t xml:space="preserve">                                                   学员签名：</w:t>
            </w:r>
            <w:r>
              <w:rPr>
                <w:rFonts w:hint="eastAsia" w:ascii="宋体" w:hAnsi="宋体"/>
                <w:b/>
                <w:u w:val="single"/>
              </w:rPr>
              <w:t xml:space="preserve">                </w:t>
            </w:r>
          </w:p>
        </w:tc>
      </w:tr>
    </w:tbl>
    <w:p>
      <w:pPr>
        <w:pStyle w:val="7"/>
        <w:spacing w:before="0" w:beforeAutospacing="0" w:after="0" w:afterAutospacing="0" w:line="270" w:lineRule="atLeast"/>
        <w:rPr>
          <w:rFonts w:hint="eastAsia" w:ascii="微软雅黑" w:hAnsi="微软雅黑" w:eastAsia="微软雅黑" w:cs="微软雅黑"/>
          <w:bCs/>
          <w:sz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建行儒黑中">
    <w:altName w:val="微软雅黑"/>
    <w:panose1 w:val="00000000000000000000"/>
    <w:charset w:val="86"/>
    <w:family w:val="auto"/>
    <w:pitch w:val="default"/>
    <w:sig w:usb0="00000000" w:usb1="00000000" w:usb2="00000002"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94B"/>
    <w:multiLevelType w:val="multilevel"/>
    <w:tmpl w:val="0189094B"/>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0CF550B9"/>
    <w:multiLevelType w:val="multilevel"/>
    <w:tmpl w:val="0CF550B9"/>
    <w:lvl w:ilvl="0" w:tentative="0">
      <w:start w:val="1"/>
      <w:numFmt w:val="decimal"/>
      <w:lvlText w:val="%1."/>
      <w:lvlJc w:val="left"/>
      <w:pPr>
        <w:tabs>
          <w:tab w:val="left" w:pos="284"/>
        </w:tabs>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C23E78"/>
    <w:multiLevelType w:val="multilevel"/>
    <w:tmpl w:val="1AC23E78"/>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2F5C2413"/>
    <w:multiLevelType w:val="multilevel"/>
    <w:tmpl w:val="2F5C2413"/>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424F1F03"/>
    <w:multiLevelType w:val="multilevel"/>
    <w:tmpl w:val="424F1F0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72D24F7"/>
    <w:multiLevelType w:val="multilevel"/>
    <w:tmpl w:val="572D24F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D0C4F84"/>
    <w:multiLevelType w:val="multilevel"/>
    <w:tmpl w:val="5D0C4F8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3B974F7"/>
    <w:multiLevelType w:val="multilevel"/>
    <w:tmpl w:val="63B974F7"/>
    <w:lvl w:ilvl="0" w:tentative="0">
      <w:start w:val="1"/>
      <w:numFmt w:val="decimal"/>
      <w:lvlText w:val="%1."/>
      <w:lvlJc w:val="left"/>
      <w:pPr>
        <w:ind w:left="284" w:hanging="284"/>
      </w:pPr>
      <w:rPr>
        <w:rFonts w:hint="default"/>
      </w:rPr>
    </w:lvl>
    <w:lvl w:ilvl="1" w:tentative="0">
      <w:start w:val="2"/>
      <w:numFmt w:val="japaneseCounting"/>
      <w:lvlText w:val="%2、"/>
      <w:lvlJc w:val="left"/>
      <w:pPr>
        <w:ind w:left="720" w:hanging="720"/>
      </w:pPr>
      <w:rPr>
        <w:rFonts w:hint="default" w:ascii="微软雅黑" w:hAnsi="微软雅黑" w:eastAsia="微软雅黑"/>
        <w:b/>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686E0F60"/>
    <w:multiLevelType w:val="multilevel"/>
    <w:tmpl w:val="686E0F60"/>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7D492000"/>
    <w:multiLevelType w:val="multilevel"/>
    <w:tmpl w:val="7D492000"/>
    <w:lvl w:ilvl="0" w:tentative="0">
      <w:start w:val="1"/>
      <w:numFmt w:val="decimal"/>
      <w:lvlText w:val="%1."/>
      <w:lvlJc w:val="left"/>
      <w:pPr>
        <w:ind w:left="284" w:hanging="28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
  </w:num>
  <w:num w:numId="2">
    <w:abstractNumId w:val="5"/>
  </w:num>
  <w:num w:numId="3">
    <w:abstractNumId w:val="7"/>
  </w:num>
  <w:num w:numId="4">
    <w:abstractNumId w:val="8"/>
  </w:num>
  <w:num w:numId="5">
    <w:abstractNumId w:val="3"/>
  </w:num>
  <w:num w:numId="6">
    <w:abstractNumId w:val="9"/>
  </w:num>
  <w:num w:numId="7">
    <w:abstractNumId w:val="2"/>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D7"/>
    <w:rsid w:val="000003A0"/>
    <w:rsid w:val="000035BB"/>
    <w:rsid w:val="0001107C"/>
    <w:rsid w:val="00017906"/>
    <w:rsid w:val="00020D94"/>
    <w:rsid w:val="00022973"/>
    <w:rsid w:val="00022F59"/>
    <w:rsid w:val="00036092"/>
    <w:rsid w:val="000462B2"/>
    <w:rsid w:val="00047536"/>
    <w:rsid w:val="00053327"/>
    <w:rsid w:val="00053F6E"/>
    <w:rsid w:val="00057E63"/>
    <w:rsid w:val="00060AAB"/>
    <w:rsid w:val="00067114"/>
    <w:rsid w:val="00080308"/>
    <w:rsid w:val="00081975"/>
    <w:rsid w:val="00081A50"/>
    <w:rsid w:val="00084914"/>
    <w:rsid w:val="000A18D4"/>
    <w:rsid w:val="000A23BC"/>
    <w:rsid w:val="000A5DFD"/>
    <w:rsid w:val="000B106F"/>
    <w:rsid w:val="000C1EB6"/>
    <w:rsid w:val="000D2BB7"/>
    <w:rsid w:val="000D3C4E"/>
    <w:rsid w:val="000E3343"/>
    <w:rsid w:val="000E482A"/>
    <w:rsid w:val="000E52F6"/>
    <w:rsid w:val="000F1474"/>
    <w:rsid w:val="000F3245"/>
    <w:rsid w:val="000F7F35"/>
    <w:rsid w:val="00101B1C"/>
    <w:rsid w:val="00111484"/>
    <w:rsid w:val="0011451E"/>
    <w:rsid w:val="0012035B"/>
    <w:rsid w:val="001251BC"/>
    <w:rsid w:val="00127ECE"/>
    <w:rsid w:val="00142A8A"/>
    <w:rsid w:val="00147D29"/>
    <w:rsid w:val="001556EB"/>
    <w:rsid w:val="001634EB"/>
    <w:rsid w:val="00170B71"/>
    <w:rsid w:val="00174C53"/>
    <w:rsid w:val="00183F48"/>
    <w:rsid w:val="00193574"/>
    <w:rsid w:val="00194B1B"/>
    <w:rsid w:val="00195BE6"/>
    <w:rsid w:val="00197D8D"/>
    <w:rsid w:val="001A1FC8"/>
    <w:rsid w:val="001A2E74"/>
    <w:rsid w:val="001A5653"/>
    <w:rsid w:val="001C56F0"/>
    <w:rsid w:val="001C69D0"/>
    <w:rsid w:val="001D4A7F"/>
    <w:rsid w:val="001D720B"/>
    <w:rsid w:val="001E193D"/>
    <w:rsid w:val="001E2CF8"/>
    <w:rsid w:val="001E5B9E"/>
    <w:rsid w:val="001F135D"/>
    <w:rsid w:val="001F303C"/>
    <w:rsid w:val="00201F9A"/>
    <w:rsid w:val="00212D6B"/>
    <w:rsid w:val="002216CD"/>
    <w:rsid w:val="0022290D"/>
    <w:rsid w:val="002233F3"/>
    <w:rsid w:val="002264F2"/>
    <w:rsid w:val="00226D3E"/>
    <w:rsid w:val="002327C7"/>
    <w:rsid w:val="002377A0"/>
    <w:rsid w:val="002514B1"/>
    <w:rsid w:val="002541EF"/>
    <w:rsid w:val="00255A8E"/>
    <w:rsid w:val="00261A4C"/>
    <w:rsid w:val="002716EA"/>
    <w:rsid w:val="002770B0"/>
    <w:rsid w:val="00285040"/>
    <w:rsid w:val="00291328"/>
    <w:rsid w:val="002A15A3"/>
    <w:rsid w:val="002A7577"/>
    <w:rsid w:val="002B0155"/>
    <w:rsid w:val="002B459A"/>
    <w:rsid w:val="002C4EF1"/>
    <w:rsid w:val="002D0085"/>
    <w:rsid w:val="002D2370"/>
    <w:rsid w:val="002F379E"/>
    <w:rsid w:val="002F7F38"/>
    <w:rsid w:val="00301CA0"/>
    <w:rsid w:val="00306519"/>
    <w:rsid w:val="0031437F"/>
    <w:rsid w:val="003146AD"/>
    <w:rsid w:val="00344025"/>
    <w:rsid w:val="00344E73"/>
    <w:rsid w:val="00366A21"/>
    <w:rsid w:val="00366F6A"/>
    <w:rsid w:val="003935DE"/>
    <w:rsid w:val="0039603E"/>
    <w:rsid w:val="0039713F"/>
    <w:rsid w:val="00397DE9"/>
    <w:rsid w:val="003A4097"/>
    <w:rsid w:val="003B4A7E"/>
    <w:rsid w:val="003C514D"/>
    <w:rsid w:val="003C7693"/>
    <w:rsid w:val="003D3DB4"/>
    <w:rsid w:val="003D43A7"/>
    <w:rsid w:val="003F01A4"/>
    <w:rsid w:val="004014B3"/>
    <w:rsid w:val="00402E07"/>
    <w:rsid w:val="00414E22"/>
    <w:rsid w:val="00416FF6"/>
    <w:rsid w:val="00421429"/>
    <w:rsid w:val="00423C8C"/>
    <w:rsid w:val="0043325D"/>
    <w:rsid w:val="00437120"/>
    <w:rsid w:val="00440E07"/>
    <w:rsid w:val="004500E5"/>
    <w:rsid w:val="004543EB"/>
    <w:rsid w:val="004611EA"/>
    <w:rsid w:val="004678D0"/>
    <w:rsid w:val="00475B0E"/>
    <w:rsid w:val="00481488"/>
    <w:rsid w:val="004A640B"/>
    <w:rsid w:val="004A6E6F"/>
    <w:rsid w:val="004B2010"/>
    <w:rsid w:val="004C405E"/>
    <w:rsid w:val="004D0CFC"/>
    <w:rsid w:val="004D2A9A"/>
    <w:rsid w:val="004E21E8"/>
    <w:rsid w:val="004E2FEA"/>
    <w:rsid w:val="004F0CB1"/>
    <w:rsid w:val="005213C5"/>
    <w:rsid w:val="00527A22"/>
    <w:rsid w:val="00530AF4"/>
    <w:rsid w:val="005336B5"/>
    <w:rsid w:val="0053647C"/>
    <w:rsid w:val="00547614"/>
    <w:rsid w:val="00554482"/>
    <w:rsid w:val="0055522D"/>
    <w:rsid w:val="005629E2"/>
    <w:rsid w:val="0056375D"/>
    <w:rsid w:val="005650CE"/>
    <w:rsid w:val="00582D7F"/>
    <w:rsid w:val="00587C0F"/>
    <w:rsid w:val="0059057A"/>
    <w:rsid w:val="005907A8"/>
    <w:rsid w:val="005971A9"/>
    <w:rsid w:val="005A0B0B"/>
    <w:rsid w:val="005A0B75"/>
    <w:rsid w:val="005A1E88"/>
    <w:rsid w:val="005C47D3"/>
    <w:rsid w:val="005C7A4E"/>
    <w:rsid w:val="005E2A67"/>
    <w:rsid w:val="005F36F5"/>
    <w:rsid w:val="005F5E79"/>
    <w:rsid w:val="00623F31"/>
    <w:rsid w:val="00626BC5"/>
    <w:rsid w:val="00652CAC"/>
    <w:rsid w:val="00654A14"/>
    <w:rsid w:val="0066113B"/>
    <w:rsid w:val="0066129B"/>
    <w:rsid w:val="0067007E"/>
    <w:rsid w:val="006721B5"/>
    <w:rsid w:val="00673826"/>
    <w:rsid w:val="0067595E"/>
    <w:rsid w:val="006939D6"/>
    <w:rsid w:val="00694CEC"/>
    <w:rsid w:val="00696536"/>
    <w:rsid w:val="006A6F2F"/>
    <w:rsid w:val="006B3E6E"/>
    <w:rsid w:val="006B643E"/>
    <w:rsid w:val="006C3F9B"/>
    <w:rsid w:val="006D3D52"/>
    <w:rsid w:val="006E1C9D"/>
    <w:rsid w:val="006F1C2B"/>
    <w:rsid w:val="0070235F"/>
    <w:rsid w:val="00703255"/>
    <w:rsid w:val="0070552A"/>
    <w:rsid w:val="0071481D"/>
    <w:rsid w:val="00717C77"/>
    <w:rsid w:val="00720803"/>
    <w:rsid w:val="00732D96"/>
    <w:rsid w:val="00734498"/>
    <w:rsid w:val="007456A9"/>
    <w:rsid w:val="00745CE7"/>
    <w:rsid w:val="00746371"/>
    <w:rsid w:val="00755F1B"/>
    <w:rsid w:val="0076033B"/>
    <w:rsid w:val="007625C8"/>
    <w:rsid w:val="00764E9B"/>
    <w:rsid w:val="00777E75"/>
    <w:rsid w:val="0079038E"/>
    <w:rsid w:val="00790EBA"/>
    <w:rsid w:val="007911A9"/>
    <w:rsid w:val="007B0FB8"/>
    <w:rsid w:val="007B228D"/>
    <w:rsid w:val="007B41D8"/>
    <w:rsid w:val="007B42E0"/>
    <w:rsid w:val="007C7802"/>
    <w:rsid w:val="007D4890"/>
    <w:rsid w:val="007E08E8"/>
    <w:rsid w:val="00800462"/>
    <w:rsid w:val="00803642"/>
    <w:rsid w:val="00804710"/>
    <w:rsid w:val="00806664"/>
    <w:rsid w:val="008118DD"/>
    <w:rsid w:val="0081405F"/>
    <w:rsid w:val="00824105"/>
    <w:rsid w:val="00834AEE"/>
    <w:rsid w:val="008420EE"/>
    <w:rsid w:val="008472B5"/>
    <w:rsid w:val="008629A0"/>
    <w:rsid w:val="00864851"/>
    <w:rsid w:val="00876038"/>
    <w:rsid w:val="0088765A"/>
    <w:rsid w:val="0089650C"/>
    <w:rsid w:val="008A0EBB"/>
    <w:rsid w:val="008A104A"/>
    <w:rsid w:val="008A49D6"/>
    <w:rsid w:val="008A5EA0"/>
    <w:rsid w:val="008B3FD6"/>
    <w:rsid w:val="008B6794"/>
    <w:rsid w:val="008C3262"/>
    <w:rsid w:val="008D2297"/>
    <w:rsid w:val="008E77BB"/>
    <w:rsid w:val="008F251F"/>
    <w:rsid w:val="008F38C5"/>
    <w:rsid w:val="008F6A99"/>
    <w:rsid w:val="009024ED"/>
    <w:rsid w:val="0091154D"/>
    <w:rsid w:val="009120FB"/>
    <w:rsid w:val="00912F33"/>
    <w:rsid w:val="0091307E"/>
    <w:rsid w:val="00915FC4"/>
    <w:rsid w:val="00917D53"/>
    <w:rsid w:val="00922957"/>
    <w:rsid w:val="00926C4A"/>
    <w:rsid w:val="0093050A"/>
    <w:rsid w:val="009453BC"/>
    <w:rsid w:val="00953B71"/>
    <w:rsid w:val="00961450"/>
    <w:rsid w:val="0096451E"/>
    <w:rsid w:val="00971503"/>
    <w:rsid w:val="00971D7D"/>
    <w:rsid w:val="00973EC0"/>
    <w:rsid w:val="00975D13"/>
    <w:rsid w:val="00976229"/>
    <w:rsid w:val="00980D4E"/>
    <w:rsid w:val="009823B5"/>
    <w:rsid w:val="0098783F"/>
    <w:rsid w:val="0099012B"/>
    <w:rsid w:val="009911E3"/>
    <w:rsid w:val="009A16D2"/>
    <w:rsid w:val="009A6C5A"/>
    <w:rsid w:val="009B3C6E"/>
    <w:rsid w:val="009B5437"/>
    <w:rsid w:val="009C3662"/>
    <w:rsid w:val="009C7353"/>
    <w:rsid w:val="009C7884"/>
    <w:rsid w:val="009D161E"/>
    <w:rsid w:val="009E5C14"/>
    <w:rsid w:val="009F0E6E"/>
    <w:rsid w:val="009F5AD7"/>
    <w:rsid w:val="00A003CC"/>
    <w:rsid w:val="00A03B12"/>
    <w:rsid w:val="00A070FC"/>
    <w:rsid w:val="00A07EB1"/>
    <w:rsid w:val="00A127C5"/>
    <w:rsid w:val="00A12EF0"/>
    <w:rsid w:val="00A16F88"/>
    <w:rsid w:val="00A176B0"/>
    <w:rsid w:val="00A223D7"/>
    <w:rsid w:val="00A30FDC"/>
    <w:rsid w:val="00A31746"/>
    <w:rsid w:val="00A34C62"/>
    <w:rsid w:val="00A510CA"/>
    <w:rsid w:val="00A57289"/>
    <w:rsid w:val="00A60BE1"/>
    <w:rsid w:val="00A62318"/>
    <w:rsid w:val="00A732F4"/>
    <w:rsid w:val="00A859B5"/>
    <w:rsid w:val="00A91D1E"/>
    <w:rsid w:val="00AA130A"/>
    <w:rsid w:val="00AA176A"/>
    <w:rsid w:val="00AB6A97"/>
    <w:rsid w:val="00AC1EB3"/>
    <w:rsid w:val="00AD7DC5"/>
    <w:rsid w:val="00AE14A6"/>
    <w:rsid w:val="00AE5A67"/>
    <w:rsid w:val="00AE6C0A"/>
    <w:rsid w:val="00AF5DE5"/>
    <w:rsid w:val="00B0484D"/>
    <w:rsid w:val="00B06F79"/>
    <w:rsid w:val="00B11359"/>
    <w:rsid w:val="00B1699C"/>
    <w:rsid w:val="00B27663"/>
    <w:rsid w:val="00B301F4"/>
    <w:rsid w:val="00B33B4D"/>
    <w:rsid w:val="00B345D7"/>
    <w:rsid w:val="00B36ECB"/>
    <w:rsid w:val="00B428CF"/>
    <w:rsid w:val="00B514DA"/>
    <w:rsid w:val="00B565AE"/>
    <w:rsid w:val="00B7360B"/>
    <w:rsid w:val="00B84725"/>
    <w:rsid w:val="00B913A2"/>
    <w:rsid w:val="00B94784"/>
    <w:rsid w:val="00B97A57"/>
    <w:rsid w:val="00BA0C3C"/>
    <w:rsid w:val="00BA192D"/>
    <w:rsid w:val="00BA2B28"/>
    <w:rsid w:val="00BA5C00"/>
    <w:rsid w:val="00BA5EE2"/>
    <w:rsid w:val="00BB318A"/>
    <w:rsid w:val="00BB666E"/>
    <w:rsid w:val="00BC1313"/>
    <w:rsid w:val="00BC4188"/>
    <w:rsid w:val="00BD16D4"/>
    <w:rsid w:val="00BD33B9"/>
    <w:rsid w:val="00BE68EE"/>
    <w:rsid w:val="00BF0363"/>
    <w:rsid w:val="00BF2374"/>
    <w:rsid w:val="00BF4F7B"/>
    <w:rsid w:val="00BF5571"/>
    <w:rsid w:val="00BF559A"/>
    <w:rsid w:val="00C13966"/>
    <w:rsid w:val="00C31B12"/>
    <w:rsid w:val="00C463C8"/>
    <w:rsid w:val="00C52D7B"/>
    <w:rsid w:val="00C54394"/>
    <w:rsid w:val="00C55E88"/>
    <w:rsid w:val="00C71566"/>
    <w:rsid w:val="00C717E6"/>
    <w:rsid w:val="00C72CCB"/>
    <w:rsid w:val="00CA12A2"/>
    <w:rsid w:val="00CB71CD"/>
    <w:rsid w:val="00CD3735"/>
    <w:rsid w:val="00D068EB"/>
    <w:rsid w:val="00D20EF7"/>
    <w:rsid w:val="00D23C6E"/>
    <w:rsid w:val="00D27636"/>
    <w:rsid w:val="00D42272"/>
    <w:rsid w:val="00D422E9"/>
    <w:rsid w:val="00D52486"/>
    <w:rsid w:val="00D5556C"/>
    <w:rsid w:val="00D55D93"/>
    <w:rsid w:val="00D67F63"/>
    <w:rsid w:val="00D7419E"/>
    <w:rsid w:val="00D75C99"/>
    <w:rsid w:val="00D860A2"/>
    <w:rsid w:val="00D875DE"/>
    <w:rsid w:val="00D9101B"/>
    <w:rsid w:val="00DA0B24"/>
    <w:rsid w:val="00DA1E95"/>
    <w:rsid w:val="00DA220E"/>
    <w:rsid w:val="00DA620D"/>
    <w:rsid w:val="00DC3042"/>
    <w:rsid w:val="00DC5A24"/>
    <w:rsid w:val="00DC65F3"/>
    <w:rsid w:val="00DD013A"/>
    <w:rsid w:val="00DE1C44"/>
    <w:rsid w:val="00E01AF6"/>
    <w:rsid w:val="00E115FD"/>
    <w:rsid w:val="00E160E2"/>
    <w:rsid w:val="00E161FB"/>
    <w:rsid w:val="00E271FE"/>
    <w:rsid w:val="00E37AFD"/>
    <w:rsid w:val="00E41B2E"/>
    <w:rsid w:val="00E510F7"/>
    <w:rsid w:val="00E62B5A"/>
    <w:rsid w:val="00E67024"/>
    <w:rsid w:val="00E7057E"/>
    <w:rsid w:val="00E75E41"/>
    <w:rsid w:val="00E77866"/>
    <w:rsid w:val="00E81297"/>
    <w:rsid w:val="00E84B13"/>
    <w:rsid w:val="00E86338"/>
    <w:rsid w:val="00E91B89"/>
    <w:rsid w:val="00E93AD7"/>
    <w:rsid w:val="00E95A44"/>
    <w:rsid w:val="00EB0232"/>
    <w:rsid w:val="00EB2D5E"/>
    <w:rsid w:val="00EB54A1"/>
    <w:rsid w:val="00EC5D31"/>
    <w:rsid w:val="00EC5FC3"/>
    <w:rsid w:val="00ED08AF"/>
    <w:rsid w:val="00ED6DC6"/>
    <w:rsid w:val="00EE35A3"/>
    <w:rsid w:val="00EF396E"/>
    <w:rsid w:val="00EF441C"/>
    <w:rsid w:val="00EF78B3"/>
    <w:rsid w:val="00F14DD2"/>
    <w:rsid w:val="00F15D8B"/>
    <w:rsid w:val="00F17109"/>
    <w:rsid w:val="00F21E3F"/>
    <w:rsid w:val="00F229C0"/>
    <w:rsid w:val="00F23D5D"/>
    <w:rsid w:val="00F307B1"/>
    <w:rsid w:val="00F40C34"/>
    <w:rsid w:val="00F4617A"/>
    <w:rsid w:val="00F47E75"/>
    <w:rsid w:val="00F5141A"/>
    <w:rsid w:val="00F676D0"/>
    <w:rsid w:val="00F67A3C"/>
    <w:rsid w:val="00F92C42"/>
    <w:rsid w:val="00FC4142"/>
    <w:rsid w:val="00FC439C"/>
    <w:rsid w:val="00FC7179"/>
    <w:rsid w:val="00FC7414"/>
    <w:rsid w:val="00FD33AD"/>
    <w:rsid w:val="00FE1848"/>
    <w:rsid w:val="00FE6B2E"/>
    <w:rsid w:val="00FF0862"/>
    <w:rsid w:val="00FF7061"/>
    <w:rsid w:val="204B345B"/>
    <w:rsid w:val="4050066D"/>
    <w:rsid w:val="42A7372A"/>
    <w:rsid w:val="70E2169D"/>
    <w:rsid w:val="776218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8"/>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styleId="10">
    <w:name w:val="Hyperlink"/>
    <w:basedOn w:val="8"/>
    <w:unhideWhenUsed/>
    <w:uiPriority w:val="99"/>
    <w:rPr>
      <w:color w:val="0000FF"/>
      <w:u w:val="single"/>
    </w:rPr>
  </w:style>
  <w:style w:type="character" w:styleId="11">
    <w:name w:val="HTML Sample"/>
    <w:basedOn w:val="8"/>
    <w:unhideWhenUsed/>
    <w:qFormat/>
    <w:uiPriority w:val="99"/>
    <w:rPr>
      <w:rFonts w:hint="default" w:ascii="monospace" w:hAnsi="monospace" w:eastAsia="monospace" w:cs="monospace"/>
      <w:sz w:val="21"/>
      <w:szCs w:val="21"/>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字符"/>
    <w:basedOn w:val="8"/>
    <w:link w:val="6"/>
    <w:qFormat/>
    <w:uiPriority w:val="99"/>
    <w:rPr>
      <w:sz w:val="18"/>
      <w:szCs w:val="18"/>
    </w:rPr>
  </w:style>
  <w:style w:type="character" w:customStyle="1" w:styleId="15">
    <w:name w:val="页脚 字符"/>
    <w:basedOn w:val="8"/>
    <w:link w:val="5"/>
    <w:qFormat/>
    <w:uiPriority w:val="99"/>
    <w:rPr>
      <w:sz w:val="18"/>
      <w:szCs w:val="18"/>
    </w:rPr>
  </w:style>
  <w:style w:type="character" w:customStyle="1" w:styleId="16">
    <w:name w:val="标题 1 字符"/>
    <w:basedOn w:val="8"/>
    <w:link w:val="2"/>
    <w:qFormat/>
    <w:uiPriority w:val="9"/>
    <w:rPr>
      <w:rFonts w:ascii="Calibri" w:hAnsi="Calibri" w:eastAsia="宋体" w:cs="Times New Roman"/>
      <w:b/>
      <w:bCs/>
      <w:kern w:val="44"/>
      <w:sz w:val="44"/>
      <w:szCs w:val="44"/>
    </w:rPr>
  </w:style>
  <w:style w:type="character" w:customStyle="1" w:styleId="17">
    <w:name w:val="标题 2 字符"/>
    <w:basedOn w:val="8"/>
    <w:link w:val="3"/>
    <w:qFormat/>
    <w:uiPriority w:val="9"/>
    <w:rPr>
      <w:rFonts w:ascii="Cambria" w:hAnsi="Cambria" w:eastAsia="宋体" w:cs="Times New Roman"/>
      <w:b/>
      <w:bCs/>
      <w:sz w:val="32"/>
      <w:szCs w:val="32"/>
    </w:rPr>
  </w:style>
  <w:style w:type="character" w:customStyle="1" w:styleId="18">
    <w:name w:val="批注框文本 字符"/>
    <w:basedOn w:val="8"/>
    <w:link w:val="4"/>
    <w:semiHidden/>
    <w:qFormat/>
    <w:uiPriority w:val="99"/>
    <w:rPr>
      <w:rFonts w:ascii="Calibri" w:hAnsi="Calibri" w:eastAsia="宋体" w:cs="Times New Roman"/>
      <w:sz w:val="18"/>
      <w:szCs w:val="18"/>
    </w:rPr>
  </w:style>
  <w:style w:type="paragraph" w:customStyle="1" w:styleId="19">
    <w:name w:val="列出段落1"/>
    <w:basedOn w:val="1"/>
    <w:qFormat/>
    <w:uiPriority w:val="34"/>
    <w:pPr>
      <w:ind w:firstLine="420" w:firstLineChars="200"/>
    </w:pPr>
  </w:style>
  <w:style w:type="paragraph" w:styleId="20">
    <w:name w:val="List Paragraph"/>
    <w:basedOn w:val="1"/>
    <w:unhideWhenUsed/>
    <w:qFormat/>
    <w:uiPriority w:val="34"/>
    <w:pPr>
      <w:ind w:firstLine="420" w:firstLineChars="200"/>
    </w:pPr>
  </w:style>
  <w:style w:type="character" w:customStyle="1" w:styleId="21">
    <w:name w:val="text-th"/>
    <w:basedOn w:val="8"/>
    <w:qFormat/>
    <w:uiPriority w:val="0"/>
  </w:style>
  <w:style w:type="character" w:customStyle="1" w:styleId="22">
    <w:name w:val="apple-converted-space"/>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0" Type="http://schemas.openxmlformats.org/officeDocument/2006/relationships/fontTable" Target="fontTable.xml"/><Relationship Id="rId4" Type="http://schemas.openxmlformats.org/officeDocument/2006/relationships/image" Target="media/image1.jpeg"/><Relationship Id="rId39" Type="http://schemas.openxmlformats.org/officeDocument/2006/relationships/customXml" Target="../customXml/item2.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33.wmf"/><Relationship Id="rId35" Type="http://schemas.openxmlformats.org/officeDocument/2006/relationships/image" Target="media/image32.wmf"/><Relationship Id="rId34" Type="http://schemas.openxmlformats.org/officeDocument/2006/relationships/image" Target="media/image31.wmf"/><Relationship Id="rId33" Type="http://schemas.openxmlformats.org/officeDocument/2006/relationships/image" Target="media/image30.wmf"/><Relationship Id="rId32" Type="http://schemas.openxmlformats.org/officeDocument/2006/relationships/image" Target="media/image29.wmf"/><Relationship Id="rId31" Type="http://schemas.openxmlformats.org/officeDocument/2006/relationships/image" Target="media/image28.png"/><Relationship Id="rId30" Type="http://schemas.openxmlformats.org/officeDocument/2006/relationships/image" Target="media/image27.wmf"/><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wmf"/><Relationship Id="rId27" Type="http://schemas.openxmlformats.org/officeDocument/2006/relationships/image" Target="media/image24.wmf"/><Relationship Id="rId26" Type="http://schemas.openxmlformats.org/officeDocument/2006/relationships/image" Target="media/image23.wmf"/><Relationship Id="rId25" Type="http://schemas.openxmlformats.org/officeDocument/2006/relationships/image" Target="media/image22.wmf"/><Relationship Id="rId24" Type="http://schemas.openxmlformats.org/officeDocument/2006/relationships/image" Target="media/image21.wmf"/><Relationship Id="rId23" Type="http://schemas.openxmlformats.org/officeDocument/2006/relationships/image" Target="media/image20.wmf"/><Relationship Id="rId22" Type="http://schemas.openxmlformats.org/officeDocument/2006/relationships/image" Target="media/image19.wmf"/><Relationship Id="rId21" Type="http://schemas.openxmlformats.org/officeDocument/2006/relationships/image" Target="media/image18.wmf"/><Relationship Id="rId20" Type="http://schemas.openxmlformats.org/officeDocument/2006/relationships/image" Target="media/image17.wmf"/><Relationship Id="rId2" Type="http://schemas.openxmlformats.org/officeDocument/2006/relationships/settings" Target="settings.xml"/><Relationship Id="rId19" Type="http://schemas.openxmlformats.org/officeDocument/2006/relationships/image" Target="media/image16.wmf"/><Relationship Id="rId18" Type="http://schemas.openxmlformats.org/officeDocument/2006/relationships/image" Target="media/image15.wmf"/><Relationship Id="rId17" Type="http://schemas.openxmlformats.org/officeDocument/2006/relationships/image" Target="media/image14.wmf"/><Relationship Id="rId16" Type="http://schemas.openxmlformats.org/officeDocument/2006/relationships/image" Target="media/image13.wmf"/><Relationship Id="rId15" Type="http://schemas.openxmlformats.org/officeDocument/2006/relationships/image" Target="media/image12.wmf"/><Relationship Id="rId14" Type="http://schemas.openxmlformats.org/officeDocument/2006/relationships/image" Target="media/image11.wmf"/><Relationship Id="rId13" Type="http://schemas.openxmlformats.org/officeDocument/2006/relationships/image" Target="media/image10.wmf"/><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5BE91-C101-4A67-B766-9367D480C57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589</Words>
  <Characters>3359</Characters>
  <Lines>27</Lines>
  <Paragraphs>7</Paragraphs>
  <ScaleCrop>false</ScaleCrop>
  <LinksUpToDate>false</LinksUpToDate>
  <CharactersWithSpaces>3941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2018-03-15T03:05:00Z</dcterms:created>
  <dc:creator>xiaoyu sun</dc:creator>
  <cp:lastModifiedBy>Administrator</cp:lastModifiedBy>
  <cp:lastPrinted>2017-08-14T08:23:00Z</cp:lastPrinted>
  <dcterms:modified xsi:type="dcterms:W3CDTF">2018-03-20T03:20:06Z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